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F193" w14:textId="77777777" w:rsidR="00987DAC" w:rsidRPr="00DB386B" w:rsidRDefault="00987DAC">
      <w:pPr>
        <w:pStyle w:val="Brdtext"/>
        <w:spacing w:before="575"/>
        <w:rPr>
          <w:sz w:val="84"/>
        </w:rPr>
      </w:pPr>
    </w:p>
    <w:p w14:paraId="3C64F194" w14:textId="77777777" w:rsidR="00987DAC" w:rsidRPr="00DB386B" w:rsidRDefault="00016B4C">
      <w:pPr>
        <w:pStyle w:val="Rubrik1"/>
        <w:spacing w:line="943" w:lineRule="exact"/>
      </w:pPr>
      <w:r w:rsidRPr="00DB386B">
        <w:t>Annual</w:t>
      </w:r>
      <w:r w:rsidRPr="00DB386B">
        <w:rPr>
          <w:spacing w:val="-31"/>
        </w:rPr>
        <w:t xml:space="preserve"> </w:t>
      </w:r>
      <w:r w:rsidRPr="00DB386B">
        <w:rPr>
          <w:spacing w:val="-2"/>
        </w:rPr>
        <w:t>Report</w:t>
      </w:r>
    </w:p>
    <w:p w14:paraId="3C64F195" w14:textId="77777777" w:rsidR="00987DAC" w:rsidRPr="00DB386B" w:rsidRDefault="00016B4C">
      <w:pPr>
        <w:spacing w:line="301" w:lineRule="exact"/>
        <w:ind w:left="5" w:right="319"/>
        <w:jc w:val="center"/>
        <w:rPr>
          <w:b/>
          <w:sz w:val="32"/>
        </w:rPr>
      </w:pPr>
      <w:r w:rsidRPr="00DB386B">
        <w:rPr>
          <w:b/>
          <w:spacing w:val="-5"/>
          <w:sz w:val="32"/>
        </w:rPr>
        <w:t>and</w:t>
      </w:r>
    </w:p>
    <w:p w14:paraId="3C64F196" w14:textId="77777777" w:rsidR="00987DAC" w:rsidRPr="00DB386B" w:rsidRDefault="00016B4C">
      <w:pPr>
        <w:pStyle w:val="Rubrik1"/>
        <w:spacing w:before="35" w:line="216" w:lineRule="auto"/>
        <w:ind w:left="452" w:right="767" w:firstLine="1"/>
      </w:pPr>
      <w:r w:rsidRPr="00DB386B">
        <w:rPr>
          <w:spacing w:val="-2"/>
        </w:rPr>
        <w:t xml:space="preserve">Consolidated </w:t>
      </w:r>
      <w:r w:rsidRPr="00DB386B">
        <w:t>Financial</w:t>
      </w:r>
      <w:r w:rsidRPr="00DB386B">
        <w:rPr>
          <w:spacing w:val="-32"/>
        </w:rPr>
        <w:t xml:space="preserve"> </w:t>
      </w:r>
      <w:r w:rsidRPr="00DB386B">
        <w:t>Statements</w:t>
      </w:r>
    </w:p>
    <w:p w14:paraId="3C64F197" w14:textId="69191062" w:rsidR="00987DAC" w:rsidRPr="00DB386B" w:rsidRDefault="00016B4C">
      <w:pPr>
        <w:pStyle w:val="Rubrik3"/>
        <w:ind w:left="3"/>
      </w:pPr>
      <w:r w:rsidRPr="00DB386B">
        <w:t>202</w:t>
      </w:r>
      <w:r w:rsidR="00D04399" w:rsidRPr="00DB386B">
        <w:t>4</w:t>
      </w:r>
      <w:r w:rsidRPr="00DB386B">
        <w:t>-01-01</w:t>
      </w:r>
      <w:r w:rsidRPr="00DB386B">
        <w:rPr>
          <w:spacing w:val="-20"/>
        </w:rPr>
        <w:t xml:space="preserve"> </w:t>
      </w:r>
      <w:r w:rsidRPr="00DB386B">
        <w:t>–</w:t>
      </w:r>
      <w:r w:rsidRPr="00DB386B">
        <w:rPr>
          <w:spacing w:val="-17"/>
        </w:rPr>
        <w:t xml:space="preserve"> </w:t>
      </w:r>
      <w:r w:rsidRPr="00DB386B">
        <w:t>202</w:t>
      </w:r>
      <w:r w:rsidR="00D04399" w:rsidRPr="00DB386B">
        <w:t>4</w:t>
      </w:r>
      <w:r w:rsidRPr="00DB386B">
        <w:t>-12-</w:t>
      </w:r>
      <w:r w:rsidRPr="00DB386B">
        <w:rPr>
          <w:spacing w:val="-5"/>
        </w:rPr>
        <w:t>31</w:t>
      </w:r>
    </w:p>
    <w:p w14:paraId="3C64F198" w14:textId="77777777" w:rsidR="00987DAC" w:rsidRPr="00DB386B" w:rsidRDefault="00987DAC">
      <w:pPr>
        <w:pStyle w:val="Brdtext"/>
        <w:spacing w:before="4"/>
        <w:rPr>
          <w:b/>
          <w:sz w:val="36"/>
        </w:rPr>
      </w:pPr>
    </w:p>
    <w:p w14:paraId="3C64F199" w14:textId="77777777" w:rsidR="00987DAC" w:rsidRPr="00DB386B" w:rsidRDefault="00016B4C">
      <w:pPr>
        <w:ind w:right="318"/>
        <w:jc w:val="center"/>
        <w:rPr>
          <w:b/>
          <w:sz w:val="32"/>
        </w:rPr>
      </w:pPr>
      <w:r w:rsidRPr="00DB386B">
        <w:rPr>
          <w:b/>
          <w:spacing w:val="-5"/>
          <w:sz w:val="32"/>
        </w:rPr>
        <w:t>for</w:t>
      </w:r>
    </w:p>
    <w:p w14:paraId="3C64F19A" w14:textId="006EA5D3" w:rsidR="00987DAC" w:rsidRPr="00DB386B" w:rsidRDefault="00D04399">
      <w:pPr>
        <w:pStyle w:val="Rubrik1"/>
        <w:spacing w:before="366" w:line="942" w:lineRule="exact"/>
        <w:ind w:left="3"/>
      </w:pPr>
      <w:r w:rsidRPr="00DB386B">
        <w:t>JY Holding</w:t>
      </w:r>
      <w:r w:rsidRPr="00DB386B">
        <w:rPr>
          <w:spacing w:val="-8"/>
        </w:rPr>
        <w:t xml:space="preserve"> </w:t>
      </w:r>
      <w:r w:rsidRPr="00DB386B">
        <w:rPr>
          <w:spacing w:val="-5"/>
        </w:rPr>
        <w:t>AB</w:t>
      </w:r>
      <w:r w:rsidR="00290335">
        <w:rPr>
          <w:spacing w:val="-5"/>
        </w:rPr>
        <w:t xml:space="preserve"> (publ)</w:t>
      </w:r>
    </w:p>
    <w:p w14:paraId="3C64F19B" w14:textId="3F0C9B26" w:rsidR="00987DAC" w:rsidRPr="00DB386B" w:rsidRDefault="00B2516F">
      <w:pPr>
        <w:pStyle w:val="Rubrik3"/>
        <w:spacing w:line="390" w:lineRule="exact"/>
        <w:ind w:left="2"/>
      </w:pPr>
      <w:r w:rsidRPr="00DB386B">
        <w:t>559154-1023</w:t>
      </w:r>
    </w:p>
    <w:p w14:paraId="3C64F19C" w14:textId="77777777" w:rsidR="00987DAC" w:rsidRPr="00DB386B" w:rsidRDefault="00987DAC">
      <w:pPr>
        <w:pStyle w:val="Brdtext"/>
        <w:spacing w:before="288"/>
        <w:rPr>
          <w:b/>
          <w:sz w:val="36"/>
        </w:rPr>
      </w:pPr>
    </w:p>
    <w:p w14:paraId="3C64F19D" w14:textId="77777777" w:rsidR="00987DAC" w:rsidRPr="00DB386B" w:rsidRDefault="00016B4C">
      <w:pPr>
        <w:spacing w:line="400" w:lineRule="exact"/>
        <w:ind w:right="319"/>
        <w:jc w:val="center"/>
        <w:rPr>
          <w:b/>
          <w:sz w:val="36"/>
        </w:rPr>
      </w:pPr>
      <w:r w:rsidRPr="00DB386B">
        <w:rPr>
          <w:b/>
          <w:sz w:val="36"/>
        </w:rPr>
        <w:t>Un-audited</w:t>
      </w:r>
      <w:r w:rsidRPr="00DB386B">
        <w:rPr>
          <w:b/>
          <w:spacing w:val="-16"/>
          <w:sz w:val="36"/>
        </w:rPr>
        <w:t xml:space="preserve"> </w:t>
      </w:r>
      <w:r w:rsidRPr="00DB386B">
        <w:rPr>
          <w:b/>
          <w:sz w:val="36"/>
        </w:rPr>
        <w:t>translation</w:t>
      </w:r>
      <w:r w:rsidRPr="00DB386B">
        <w:rPr>
          <w:b/>
          <w:spacing w:val="-15"/>
          <w:sz w:val="36"/>
        </w:rPr>
        <w:t xml:space="preserve"> </w:t>
      </w:r>
      <w:r w:rsidRPr="00DB386B">
        <w:rPr>
          <w:b/>
          <w:sz w:val="36"/>
        </w:rPr>
        <w:t>of</w:t>
      </w:r>
      <w:r w:rsidRPr="00DB386B">
        <w:rPr>
          <w:b/>
          <w:spacing w:val="-16"/>
          <w:sz w:val="36"/>
        </w:rPr>
        <w:t xml:space="preserve"> </w:t>
      </w:r>
      <w:r w:rsidRPr="00DB386B">
        <w:rPr>
          <w:b/>
          <w:sz w:val="36"/>
        </w:rPr>
        <w:t>audited</w:t>
      </w:r>
      <w:r w:rsidRPr="00DB386B">
        <w:rPr>
          <w:b/>
          <w:spacing w:val="-15"/>
          <w:sz w:val="36"/>
        </w:rPr>
        <w:t xml:space="preserve"> </w:t>
      </w:r>
      <w:r w:rsidRPr="00DB386B">
        <w:rPr>
          <w:b/>
          <w:sz w:val="36"/>
        </w:rPr>
        <w:t>Annual</w:t>
      </w:r>
      <w:r w:rsidRPr="00DB386B">
        <w:rPr>
          <w:b/>
          <w:spacing w:val="-17"/>
          <w:sz w:val="36"/>
        </w:rPr>
        <w:t xml:space="preserve"> </w:t>
      </w:r>
      <w:r w:rsidRPr="00DB386B">
        <w:rPr>
          <w:b/>
          <w:spacing w:val="-2"/>
          <w:sz w:val="36"/>
        </w:rPr>
        <w:t>Report</w:t>
      </w:r>
    </w:p>
    <w:p w14:paraId="3C64F19E" w14:textId="70BAF6FC" w:rsidR="00E821DC" w:rsidRDefault="00016B4C">
      <w:pPr>
        <w:spacing w:before="6" w:line="216" w:lineRule="auto"/>
        <w:ind w:left="791" w:right="1106"/>
        <w:jc w:val="center"/>
        <w:rPr>
          <w:b/>
          <w:i/>
        </w:rPr>
      </w:pPr>
      <w:r w:rsidRPr="00FD1ADC">
        <w:rPr>
          <w:b/>
          <w:i/>
        </w:rPr>
        <w:t>In</w:t>
      </w:r>
      <w:r w:rsidRPr="00FD1ADC">
        <w:rPr>
          <w:b/>
          <w:i/>
          <w:spacing w:val="-3"/>
        </w:rPr>
        <w:t xml:space="preserve"> </w:t>
      </w:r>
      <w:r w:rsidRPr="00FD1ADC">
        <w:rPr>
          <w:b/>
          <w:i/>
        </w:rPr>
        <w:t>case</w:t>
      </w:r>
      <w:r w:rsidRPr="00FD1ADC">
        <w:rPr>
          <w:b/>
          <w:i/>
          <w:spacing w:val="-6"/>
        </w:rPr>
        <w:t xml:space="preserve"> </w:t>
      </w:r>
      <w:r w:rsidRPr="00FD1ADC">
        <w:rPr>
          <w:b/>
          <w:i/>
        </w:rPr>
        <w:t>of</w:t>
      </w:r>
      <w:r w:rsidRPr="00FD1ADC">
        <w:rPr>
          <w:b/>
          <w:i/>
          <w:spacing w:val="-4"/>
        </w:rPr>
        <w:t xml:space="preserve"> </w:t>
      </w:r>
      <w:r w:rsidRPr="00FD1ADC">
        <w:rPr>
          <w:b/>
          <w:i/>
        </w:rPr>
        <w:t>any</w:t>
      </w:r>
      <w:r w:rsidRPr="00FD1ADC">
        <w:rPr>
          <w:b/>
          <w:i/>
          <w:spacing w:val="-5"/>
        </w:rPr>
        <w:t xml:space="preserve"> </w:t>
      </w:r>
      <w:r w:rsidRPr="00FD1ADC">
        <w:rPr>
          <w:b/>
          <w:i/>
        </w:rPr>
        <w:t>inconsistency</w:t>
      </w:r>
      <w:r w:rsidRPr="00FD1ADC">
        <w:rPr>
          <w:b/>
          <w:i/>
          <w:spacing w:val="-3"/>
        </w:rPr>
        <w:t xml:space="preserve"> </w:t>
      </w:r>
      <w:r w:rsidRPr="00FD1ADC">
        <w:rPr>
          <w:b/>
          <w:i/>
        </w:rPr>
        <w:t>between</w:t>
      </w:r>
      <w:r w:rsidRPr="00FD1ADC">
        <w:rPr>
          <w:b/>
          <w:i/>
          <w:spacing w:val="-5"/>
        </w:rPr>
        <w:t xml:space="preserve"> </w:t>
      </w:r>
      <w:r w:rsidRPr="00FD1ADC">
        <w:rPr>
          <w:b/>
          <w:i/>
        </w:rPr>
        <w:t>the</w:t>
      </w:r>
      <w:r w:rsidRPr="00FD1ADC">
        <w:rPr>
          <w:b/>
          <w:i/>
          <w:spacing w:val="-3"/>
        </w:rPr>
        <w:t xml:space="preserve"> </w:t>
      </w:r>
      <w:r w:rsidRPr="00FD1ADC">
        <w:rPr>
          <w:b/>
          <w:i/>
        </w:rPr>
        <w:t>Swedish</w:t>
      </w:r>
      <w:r w:rsidRPr="00FD1ADC">
        <w:rPr>
          <w:b/>
          <w:i/>
          <w:spacing w:val="-3"/>
        </w:rPr>
        <w:t xml:space="preserve"> </w:t>
      </w:r>
      <w:r w:rsidRPr="00FD1ADC">
        <w:rPr>
          <w:b/>
          <w:i/>
        </w:rPr>
        <w:t>and</w:t>
      </w:r>
      <w:r w:rsidRPr="00FD1ADC">
        <w:rPr>
          <w:b/>
          <w:i/>
          <w:spacing w:val="-5"/>
        </w:rPr>
        <w:t xml:space="preserve"> </w:t>
      </w:r>
      <w:r w:rsidRPr="00FD1ADC">
        <w:rPr>
          <w:b/>
          <w:i/>
        </w:rPr>
        <w:t>English</w:t>
      </w:r>
      <w:r w:rsidRPr="00FD1ADC">
        <w:rPr>
          <w:b/>
          <w:i/>
          <w:spacing w:val="-3"/>
        </w:rPr>
        <w:t xml:space="preserve"> </w:t>
      </w:r>
      <w:r w:rsidRPr="00FD1ADC">
        <w:rPr>
          <w:b/>
          <w:i/>
        </w:rPr>
        <w:t>version, the Swedish version shall prevail.</w:t>
      </w:r>
    </w:p>
    <w:p w14:paraId="4FA21FBA" w14:textId="77777777" w:rsidR="00E821DC" w:rsidRDefault="00E821DC">
      <w:pPr>
        <w:rPr>
          <w:b/>
          <w:i/>
        </w:rPr>
      </w:pPr>
      <w:r>
        <w:rPr>
          <w:b/>
          <w:i/>
        </w:rPr>
        <w:br w:type="page"/>
      </w:r>
    </w:p>
    <w:p w14:paraId="33975C21" w14:textId="77777777" w:rsidR="00CE39AF" w:rsidRPr="00CB7A7B" w:rsidRDefault="00CE39AF">
      <w:pPr>
        <w:spacing w:before="239"/>
        <w:ind w:left="118"/>
        <w:rPr>
          <w:spacing w:val="-2"/>
          <w:sz w:val="32"/>
        </w:rPr>
      </w:pPr>
    </w:p>
    <w:p w14:paraId="3C64F19F" w14:textId="4834FB3E" w:rsidR="00987DAC" w:rsidRPr="00CB7A7B" w:rsidRDefault="00016B4C">
      <w:pPr>
        <w:spacing w:before="239"/>
        <w:ind w:left="118"/>
        <w:rPr>
          <w:sz w:val="32"/>
        </w:rPr>
      </w:pPr>
      <w:r w:rsidRPr="00CB7A7B">
        <w:rPr>
          <w:spacing w:val="-2"/>
          <w:sz w:val="32"/>
        </w:rPr>
        <w:t>Contents</w:t>
      </w:r>
    </w:p>
    <w:p w14:paraId="3C64F1A0" w14:textId="247C64BC" w:rsidR="00987DAC" w:rsidRPr="00CB7A7B" w:rsidRDefault="00987DAC">
      <w:pPr>
        <w:pStyle w:val="Brdtext"/>
        <w:tabs>
          <w:tab w:val="right" w:leader="dot" w:pos="9181"/>
        </w:tabs>
        <w:spacing w:before="33"/>
        <w:ind w:left="118"/>
      </w:pPr>
      <w:hyperlink w:anchor="_bookmark0" w:history="1">
        <w:r w:rsidRPr="00CB7A7B">
          <w:rPr>
            <w:spacing w:val="-2"/>
          </w:rPr>
          <w:t>Management</w:t>
        </w:r>
        <w:r w:rsidRPr="00CB7A7B">
          <w:rPr>
            <w:spacing w:val="4"/>
          </w:rPr>
          <w:t xml:space="preserve"> </w:t>
        </w:r>
        <w:r w:rsidRPr="00CB7A7B">
          <w:rPr>
            <w:spacing w:val="-2"/>
          </w:rPr>
          <w:t>Report</w:t>
        </w:r>
        <w:r w:rsidRPr="00CB7A7B">
          <w:tab/>
        </w:r>
        <w:r w:rsidR="00CB7A7B" w:rsidRPr="00CB7A7B">
          <w:rPr>
            <w:spacing w:val="-10"/>
          </w:rPr>
          <w:t>3</w:t>
        </w:r>
      </w:hyperlink>
    </w:p>
    <w:p w14:paraId="3C64F1A1" w14:textId="77777777" w:rsidR="00987DAC" w:rsidRPr="00CB7A7B" w:rsidRDefault="00987DAC">
      <w:pPr>
        <w:pStyle w:val="Brdtext"/>
        <w:tabs>
          <w:tab w:val="right" w:leader="dot" w:pos="9181"/>
        </w:tabs>
        <w:spacing w:before="119"/>
        <w:ind w:left="118"/>
      </w:pPr>
      <w:hyperlink w:anchor="_bookmark1" w:history="1">
        <w:r w:rsidRPr="00CB7A7B">
          <w:rPr>
            <w:spacing w:val="-2"/>
          </w:rPr>
          <w:t>Consolidated</w:t>
        </w:r>
        <w:r w:rsidRPr="00CB7A7B">
          <w:rPr>
            <w:spacing w:val="2"/>
          </w:rPr>
          <w:t xml:space="preserve"> </w:t>
        </w:r>
        <w:r w:rsidRPr="00CB7A7B">
          <w:rPr>
            <w:spacing w:val="-2"/>
          </w:rPr>
          <w:t>income</w:t>
        </w:r>
        <w:r w:rsidRPr="00CB7A7B">
          <w:rPr>
            <w:spacing w:val="4"/>
          </w:rPr>
          <w:t xml:space="preserve"> </w:t>
        </w:r>
        <w:r w:rsidRPr="00CB7A7B">
          <w:rPr>
            <w:spacing w:val="-2"/>
          </w:rPr>
          <w:t>statement</w:t>
        </w:r>
        <w:r w:rsidRPr="00CB7A7B">
          <w:tab/>
        </w:r>
        <w:r w:rsidRPr="00CB7A7B">
          <w:rPr>
            <w:spacing w:val="-10"/>
          </w:rPr>
          <w:t>7</w:t>
        </w:r>
      </w:hyperlink>
    </w:p>
    <w:p w14:paraId="3C64F1A2" w14:textId="77777777" w:rsidR="00987DAC" w:rsidRPr="00CB7A7B" w:rsidRDefault="00987DAC">
      <w:pPr>
        <w:pStyle w:val="Brdtext"/>
        <w:tabs>
          <w:tab w:val="right" w:leader="dot" w:pos="9181"/>
        </w:tabs>
        <w:spacing w:before="122"/>
        <w:ind w:left="118"/>
      </w:pPr>
      <w:hyperlink w:anchor="_bookmark2" w:history="1">
        <w:r w:rsidRPr="00CB7A7B">
          <w:rPr>
            <w:spacing w:val="-2"/>
          </w:rPr>
          <w:t>Comprehensive</w:t>
        </w:r>
        <w:r w:rsidRPr="00CB7A7B">
          <w:rPr>
            <w:spacing w:val="6"/>
          </w:rPr>
          <w:t xml:space="preserve"> </w:t>
        </w:r>
        <w:r w:rsidRPr="00CB7A7B">
          <w:rPr>
            <w:spacing w:val="-2"/>
          </w:rPr>
          <w:t>income</w:t>
        </w:r>
        <w:r w:rsidRPr="00CB7A7B">
          <w:rPr>
            <w:spacing w:val="4"/>
          </w:rPr>
          <w:t xml:space="preserve"> </w:t>
        </w:r>
        <w:r w:rsidRPr="00CB7A7B">
          <w:rPr>
            <w:spacing w:val="-2"/>
          </w:rPr>
          <w:t>statement</w:t>
        </w:r>
        <w:r w:rsidRPr="00CB7A7B">
          <w:tab/>
        </w:r>
        <w:r w:rsidRPr="00CB7A7B">
          <w:rPr>
            <w:spacing w:val="-12"/>
          </w:rPr>
          <w:t>7</w:t>
        </w:r>
      </w:hyperlink>
    </w:p>
    <w:p w14:paraId="3C64F1A3" w14:textId="77777777" w:rsidR="00987DAC" w:rsidRPr="00CB7A7B" w:rsidRDefault="00987DAC">
      <w:pPr>
        <w:pStyle w:val="Brdtext"/>
        <w:tabs>
          <w:tab w:val="right" w:leader="dot" w:pos="9181"/>
        </w:tabs>
        <w:spacing w:before="120"/>
        <w:ind w:left="118"/>
      </w:pPr>
      <w:hyperlink w:anchor="_bookmark3" w:history="1">
        <w:r w:rsidRPr="00CB7A7B">
          <w:rPr>
            <w:spacing w:val="-2"/>
          </w:rPr>
          <w:t>Consolidated</w:t>
        </w:r>
        <w:r w:rsidRPr="00CB7A7B">
          <w:rPr>
            <w:spacing w:val="2"/>
          </w:rPr>
          <w:t xml:space="preserve"> </w:t>
        </w:r>
        <w:r w:rsidRPr="00CB7A7B">
          <w:rPr>
            <w:spacing w:val="-2"/>
          </w:rPr>
          <w:t>balance</w:t>
        </w:r>
        <w:r w:rsidRPr="00CB7A7B">
          <w:rPr>
            <w:spacing w:val="6"/>
          </w:rPr>
          <w:t xml:space="preserve"> </w:t>
        </w:r>
        <w:r w:rsidRPr="00CB7A7B">
          <w:rPr>
            <w:spacing w:val="-2"/>
          </w:rPr>
          <w:t>sheet</w:t>
        </w:r>
        <w:r w:rsidRPr="00CB7A7B">
          <w:tab/>
        </w:r>
        <w:r w:rsidRPr="00CB7A7B">
          <w:rPr>
            <w:spacing w:val="-10"/>
          </w:rPr>
          <w:t>8</w:t>
        </w:r>
      </w:hyperlink>
    </w:p>
    <w:p w14:paraId="3C64F1A4" w14:textId="77777777" w:rsidR="00987DAC" w:rsidRPr="00CB7A7B" w:rsidRDefault="00987DAC">
      <w:pPr>
        <w:pStyle w:val="Brdtext"/>
        <w:tabs>
          <w:tab w:val="right" w:leader="dot" w:pos="9185"/>
        </w:tabs>
        <w:spacing w:before="122"/>
        <w:ind w:left="118"/>
      </w:pPr>
      <w:hyperlink w:anchor="_bookmark4" w:history="1">
        <w:r w:rsidRPr="00CB7A7B">
          <w:t>Consolidated</w:t>
        </w:r>
        <w:r w:rsidRPr="00CB7A7B">
          <w:rPr>
            <w:spacing w:val="-10"/>
          </w:rPr>
          <w:t xml:space="preserve"> </w:t>
        </w:r>
        <w:r w:rsidRPr="00CB7A7B">
          <w:t>statement</w:t>
        </w:r>
        <w:r w:rsidRPr="00CB7A7B">
          <w:rPr>
            <w:spacing w:val="-8"/>
          </w:rPr>
          <w:t xml:space="preserve"> </w:t>
        </w:r>
        <w:r w:rsidRPr="00CB7A7B">
          <w:t>of</w:t>
        </w:r>
        <w:r w:rsidRPr="00CB7A7B">
          <w:rPr>
            <w:spacing w:val="34"/>
          </w:rPr>
          <w:t xml:space="preserve"> </w:t>
        </w:r>
        <w:r w:rsidRPr="00CB7A7B">
          <w:t>changes</w:t>
        </w:r>
        <w:r w:rsidRPr="00CB7A7B">
          <w:rPr>
            <w:spacing w:val="-7"/>
          </w:rPr>
          <w:t xml:space="preserve"> </w:t>
        </w:r>
        <w:r w:rsidRPr="00CB7A7B">
          <w:t>in</w:t>
        </w:r>
        <w:r w:rsidRPr="00CB7A7B">
          <w:rPr>
            <w:spacing w:val="-10"/>
          </w:rPr>
          <w:t xml:space="preserve"> </w:t>
        </w:r>
        <w:r w:rsidRPr="00CB7A7B">
          <w:rPr>
            <w:spacing w:val="-2"/>
          </w:rPr>
          <w:t>equity</w:t>
        </w:r>
        <w:r w:rsidRPr="00CB7A7B">
          <w:tab/>
        </w:r>
        <w:r w:rsidRPr="00CB7A7B">
          <w:rPr>
            <w:spacing w:val="-5"/>
          </w:rPr>
          <w:t>10</w:t>
        </w:r>
      </w:hyperlink>
    </w:p>
    <w:p w14:paraId="3C64F1A5" w14:textId="77777777" w:rsidR="00987DAC" w:rsidRPr="00CB7A7B" w:rsidRDefault="00987DAC">
      <w:pPr>
        <w:pStyle w:val="Brdtext"/>
        <w:tabs>
          <w:tab w:val="right" w:leader="dot" w:pos="9185"/>
        </w:tabs>
        <w:spacing w:before="119"/>
        <w:ind w:left="118"/>
      </w:pPr>
      <w:hyperlink w:anchor="_bookmark5" w:history="1">
        <w:r w:rsidRPr="00CB7A7B">
          <w:t>Consolidated</w:t>
        </w:r>
        <w:r w:rsidRPr="00CB7A7B">
          <w:rPr>
            <w:spacing w:val="-11"/>
          </w:rPr>
          <w:t xml:space="preserve"> </w:t>
        </w:r>
        <w:r w:rsidRPr="00CB7A7B">
          <w:t>cash</w:t>
        </w:r>
        <w:r w:rsidRPr="00CB7A7B">
          <w:rPr>
            <w:spacing w:val="-9"/>
          </w:rPr>
          <w:t xml:space="preserve"> </w:t>
        </w:r>
        <w:r w:rsidRPr="00CB7A7B">
          <w:t>flow</w:t>
        </w:r>
        <w:r w:rsidRPr="00CB7A7B">
          <w:rPr>
            <w:spacing w:val="-10"/>
          </w:rPr>
          <w:t xml:space="preserve"> </w:t>
        </w:r>
        <w:r w:rsidRPr="00CB7A7B">
          <w:rPr>
            <w:spacing w:val="-2"/>
          </w:rPr>
          <w:t>analysis</w:t>
        </w:r>
        <w:r w:rsidRPr="00CB7A7B">
          <w:tab/>
        </w:r>
        <w:r w:rsidRPr="00CB7A7B">
          <w:rPr>
            <w:spacing w:val="-5"/>
          </w:rPr>
          <w:t>11</w:t>
        </w:r>
      </w:hyperlink>
    </w:p>
    <w:p w14:paraId="3C64F1A6" w14:textId="77777777" w:rsidR="00987DAC" w:rsidRPr="00CB7A7B" w:rsidRDefault="00987DAC">
      <w:pPr>
        <w:pStyle w:val="Brdtext"/>
        <w:tabs>
          <w:tab w:val="right" w:leader="dot" w:pos="9185"/>
        </w:tabs>
        <w:spacing w:before="122"/>
        <w:ind w:left="118"/>
      </w:pPr>
      <w:hyperlink w:anchor="_bookmark6" w:history="1">
        <w:r w:rsidRPr="00CB7A7B">
          <w:t>Group</w:t>
        </w:r>
        <w:r w:rsidRPr="00CB7A7B">
          <w:rPr>
            <w:spacing w:val="-2"/>
          </w:rPr>
          <w:t xml:space="preserve"> notes</w:t>
        </w:r>
        <w:r w:rsidRPr="00CB7A7B">
          <w:tab/>
        </w:r>
        <w:r w:rsidRPr="00CB7A7B">
          <w:rPr>
            <w:spacing w:val="-5"/>
          </w:rPr>
          <w:t>12</w:t>
        </w:r>
      </w:hyperlink>
    </w:p>
    <w:p w14:paraId="3C64F1A7" w14:textId="3E0B7E63" w:rsidR="00987DAC" w:rsidRPr="00CB7A7B" w:rsidRDefault="00987DAC">
      <w:pPr>
        <w:pStyle w:val="Brdtext"/>
        <w:tabs>
          <w:tab w:val="right" w:leader="dot" w:pos="9185"/>
        </w:tabs>
        <w:spacing w:before="119"/>
        <w:ind w:left="118"/>
      </w:pPr>
      <w:hyperlink w:anchor="_bookmark7" w:history="1">
        <w:r w:rsidRPr="00CB7A7B">
          <w:t>The</w:t>
        </w:r>
        <w:r w:rsidRPr="00CB7A7B">
          <w:rPr>
            <w:spacing w:val="-3"/>
          </w:rPr>
          <w:t xml:space="preserve"> </w:t>
        </w:r>
        <w:r w:rsidRPr="00CB7A7B">
          <w:t>parent</w:t>
        </w:r>
        <w:r w:rsidRPr="00CB7A7B">
          <w:rPr>
            <w:spacing w:val="-4"/>
          </w:rPr>
          <w:t xml:space="preserve"> </w:t>
        </w:r>
        <w:r w:rsidRPr="00CB7A7B">
          <w:t>company’s</w:t>
        </w:r>
        <w:r w:rsidRPr="00CB7A7B">
          <w:rPr>
            <w:spacing w:val="-1"/>
          </w:rPr>
          <w:t xml:space="preserve"> </w:t>
        </w:r>
        <w:r w:rsidRPr="00CB7A7B">
          <w:t>income</w:t>
        </w:r>
        <w:r w:rsidRPr="00CB7A7B">
          <w:rPr>
            <w:spacing w:val="-4"/>
          </w:rPr>
          <w:t xml:space="preserve"> </w:t>
        </w:r>
        <w:r w:rsidRPr="00CB7A7B">
          <w:rPr>
            <w:spacing w:val="-2"/>
          </w:rPr>
          <w:t>statement</w:t>
        </w:r>
        <w:r w:rsidRPr="00CB7A7B">
          <w:rPr>
            <w:rFonts w:ascii="Times New Roman" w:hAnsi="Times New Roman"/>
          </w:rPr>
          <w:tab/>
        </w:r>
        <w:r w:rsidR="00CB7A7B" w:rsidRPr="00CB7A7B">
          <w:rPr>
            <w:spacing w:val="-5"/>
          </w:rPr>
          <w:t>46</w:t>
        </w:r>
      </w:hyperlink>
    </w:p>
    <w:p w14:paraId="3C64F1A8" w14:textId="506CCDCF" w:rsidR="00987DAC" w:rsidRPr="00CB7A7B" w:rsidRDefault="00987DAC">
      <w:pPr>
        <w:pStyle w:val="Brdtext"/>
        <w:tabs>
          <w:tab w:val="right" w:leader="dot" w:pos="9185"/>
        </w:tabs>
        <w:spacing w:before="122"/>
        <w:ind w:left="118"/>
      </w:pPr>
      <w:hyperlink w:anchor="_bookmark8" w:history="1">
        <w:r w:rsidRPr="00CB7A7B">
          <w:t>The</w:t>
        </w:r>
        <w:r w:rsidRPr="00CB7A7B">
          <w:rPr>
            <w:spacing w:val="-3"/>
          </w:rPr>
          <w:t xml:space="preserve"> </w:t>
        </w:r>
        <w:r w:rsidRPr="00CB7A7B">
          <w:t>parent</w:t>
        </w:r>
        <w:r w:rsidRPr="00CB7A7B">
          <w:rPr>
            <w:spacing w:val="-5"/>
          </w:rPr>
          <w:t xml:space="preserve"> </w:t>
        </w:r>
        <w:r w:rsidRPr="00CB7A7B">
          <w:t>company’s</w:t>
        </w:r>
        <w:r w:rsidRPr="00CB7A7B">
          <w:rPr>
            <w:spacing w:val="-3"/>
          </w:rPr>
          <w:t xml:space="preserve"> </w:t>
        </w:r>
        <w:r w:rsidRPr="00CB7A7B">
          <w:t>comprehensive</w:t>
        </w:r>
        <w:r w:rsidRPr="00CB7A7B">
          <w:rPr>
            <w:spacing w:val="-5"/>
          </w:rPr>
          <w:t xml:space="preserve"> </w:t>
        </w:r>
        <w:r w:rsidRPr="00CB7A7B">
          <w:t>income</w:t>
        </w:r>
        <w:r w:rsidRPr="00CB7A7B">
          <w:rPr>
            <w:spacing w:val="-2"/>
          </w:rPr>
          <w:t xml:space="preserve"> statement</w:t>
        </w:r>
        <w:r w:rsidRPr="00CB7A7B">
          <w:rPr>
            <w:rFonts w:ascii="Times New Roman" w:hAnsi="Times New Roman"/>
          </w:rPr>
          <w:tab/>
        </w:r>
        <w:r w:rsidR="00CB7A7B" w:rsidRPr="00CB7A7B">
          <w:rPr>
            <w:spacing w:val="-5"/>
          </w:rPr>
          <w:t>46</w:t>
        </w:r>
      </w:hyperlink>
    </w:p>
    <w:p w14:paraId="3C64F1A9" w14:textId="7DC086AF" w:rsidR="00987DAC" w:rsidRPr="00CB7A7B" w:rsidRDefault="00987DAC">
      <w:pPr>
        <w:pStyle w:val="Brdtext"/>
        <w:tabs>
          <w:tab w:val="right" w:leader="dot" w:pos="9185"/>
        </w:tabs>
        <w:spacing w:before="122"/>
        <w:ind w:left="118"/>
      </w:pPr>
      <w:hyperlink w:anchor="_bookmark9" w:history="1">
        <w:r w:rsidRPr="00CB7A7B">
          <w:t>The</w:t>
        </w:r>
        <w:r w:rsidRPr="00CB7A7B">
          <w:rPr>
            <w:spacing w:val="-4"/>
          </w:rPr>
          <w:t xml:space="preserve"> </w:t>
        </w:r>
        <w:r w:rsidRPr="00CB7A7B">
          <w:t>parent</w:t>
        </w:r>
        <w:r w:rsidRPr="00CB7A7B">
          <w:rPr>
            <w:spacing w:val="-5"/>
          </w:rPr>
          <w:t xml:space="preserve"> </w:t>
        </w:r>
        <w:r w:rsidRPr="00CB7A7B">
          <w:t>company’s</w:t>
        </w:r>
        <w:r w:rsidRPr="00CB7A7B">
          <w:rPr>
            <w:spacing w:val="-2"/>
          </w:rPr>
          <w:t xml:space="preserve"> </w:t>
        </w:r>
        <w:r w:rsidRPr="00CB7A7B">
          <w:t>balance</w:t>
        </w:r>
        <w:r w:rsidRPr="00CB7A7B">
          <w:rPr>
            <w:spacing w:val="-3"/>
          </w:rPr>
          <w:t xml:space="preserve"> </w:t>
        </w:r>
        <w:r w:rsidRPr="00CB7A7B">
          <w:rPr>
            <w:spacing w:val="-2"/>
          </w:rPr>
          <w:t>sheet</w:t>
        </w:r>
        <w:r w:rsidRPr="00CB7A7B">
          <w:rPr>
            <w:rFonts w:ascii="Times New Roman" w:hAnsi="Times New Roman"/>
          </w:rPr>
          <w:tab/>
        </w:r>
        <w:r w:rsidR="00CB7A7B" w:rsidRPr="00CB7A7B">
          <w:rPr>
            <w:spacing w:val="-5"/>
          </w:rPr>
          <w:t>47</w:t>
        </w:r>
      </w:hyperlink>
    </w:p>
    <w:p w14:paraId="3C64F1AA" w14:textId="3A57AD17" w:rsidR="00987DAC" w:rsidRPr="00CB7A7B" w:rsidRDefault="00987DAC">
      <w:pPr>
        <w:pStyle w:val="Brdtext"/>
        <w:tabs>
          <w:tab w:val="right" w:leader="dot" w:pos="9185"/>
        </w:tabs>
        <w:spacing w:before="119"/>
        <w:ind w:left="118"/>
      </w:pPr>
      <w:hyperlink w:anchor="_bookmark10" w:history="1">
        <w:r w:rsidRPr="00CB7A7B">
          <w:t>The</w:t>
        </w:r>
        <w:r w:rsidRPr="00CB7A7B">
          <w:rPr>
            <w:spacing w:val="-3"/>
          </w:rPr>
          <w:t xml:space="preserve"> </w:t>
        </w:r>
        <w:r w:rsidRPr="00CB7A7B">
          <w:t>parent</w:t>
        </w:r>
        <w:r w:rsidRPr="00CB7A7B">
          <w:rPr>
            <w:spacing w:val="-4"/>
          </w:rPr>
          <w:t xml:space="preserve"> </w:t>
        </w:r>
        <w:r w:rsidRPr="00CB7A7B">
          <w:t>company’s</w:t>
        </w:r>
        <w:r w:rsidRPr="00CB7A7B">
          <w:rPr>
            <w:spacing w:val="-4"/>
          </w:rPr>
          <w:t xml:space="preserve"> </w:t>
        </w:r>
        <w:r w:rsidRPr="00CB7A7B">
          <w:t>statement</w:t>
        </w:r>
        <w:r w:rsidRPr="00CB7A7B">
          <w:rPr>
            <w:spacing w:val="-2"/>
          </w:rPr>
          <w:t xml:space="preserve"> </w:t>
        </w:r>
        <w:r w:rsidRPr="00CB7A7B">
          <w:t>of</w:t>
        </w:r>
        <w:r w:rsidRPr="00CB7A7B">
          <w:rPr>
            <w:spacing w:val="-5"/>
          </w:rPr>
          <w:t xml:space="preserve"> </w:t>
        </w:r>
        <w:r w:rsidRPr="00CB7A7B">
          <w:t>changes</w:t>
        </w:r>
        <w:r w:rsidRPr="00CB7A7B">
          <w:rPr>
            <w:spacing w:val="-1"/>
          </w:rPr>
          <w:t xml:space="preserve"> </w:t>
        </w:r>
        <w:r w:rsidRPr="00CB7A7B">
          <w:t>in</w:t>
        </w:r>
        <w:r w:rsidRPr="00CB7A7B">
          <w:rPr>
            <w:spacing w:val="-2"/>
          </w:rPr>
          <w:t xml:space="preserve"> equity</w:t>
        </w:r>
        <w:r w:rsidRPr="00CB7A7B">
          <w:rPr>
            <w:rFonts w:ascii="Times New Roman" w:hAnsi="Times New Roman"/>
          </w:rPr>
          <w:tab/>
        </w:r>
        <w:r w:rsidR="00CB7A7B" w:rsidRPr="00CB7A7B">
          <w:rPr>
            <w:spacing w:val="-5"/>
          </w:rPr>
          <w:t>49</w:t>
        </w:r>
      </w:hyperlink>
    </w:p>
    <w:p w14:paraId="3C64F1AB" w14:textId="29650149" w:rsidR="00987DAC" w:rsidRPr="00CB7A7B" w:rsidRDefault="00987DAC">
      <w:pPr>
        <w:pStyle w:val="Brdtext"/>
        <w:tabs>
          <w:tab w:val="right" w:leader="dot" w:pos="9185"/>
        </w:tabs>
        <w:spacing w:before="122"/>
        <w:ind w:left="118"/>
      </w:pPr>
      <w:hyperlink w:anchor="_bookmark11" w:history="1">
        <w:r w:rsidRPr="00CB7A7B">
          <w:t>The</w:t>
        </w:r>
        <w:r w:rsidRPr="00CB7A7B">
          <w:rPr>
            <w:spacing w:val="-3"/>
          </w:rPr>
          <w:t xml:space="preserve"> </w:t>
        </w:r>
        <w:r w:rsidRPr="00CB7A7B">
          <w:t>parent</w:t>
        </w:r>
        <w:r w:rsidRPr="00CB7A7B">
          <w:rPr>
            <w:spacing w:val="-4"/>
          </w:rPr>
          <w:t xml:space="preserve"> </w:t>
        </w:r>
        <w:r w:rsidRPr="00CB7A7B">
          <w:t>company’s</w:t>
        </w:r>
        <w:r w:rsidRPr="00CB7A7B">
          <w:rPr>
            <w:spacing w:val="-4"/>
          </w:rPr>
          <w:t xml:space="preserve"> </w:t>
        </w:r>
        <w:r w:rsidRPr="00CB7A7B">
          <w:t>cash</w:t>
        </w:r>
        <w:r w:rsidRPr="00CB7A7B">
          <w:rPr>
            <w:spacing w:val="-2"/>
          </w:rPr>
          <w:t xml:space="preserve"> </w:t>
        </w:r>
        <w:r w:rsidRPr="00CB7A7B">
          <w:t>flow</w:t>
        </w:r>
        <w:r w:rsidRPr="00CB7A7B">
          <w:rPr>
            <w:spacing w:val="-2"/>
          </w:rPr>
          <w:t xml:space="preserve"> analysis</w:t>
        </w:r>
        <w:r w:rsidRPr="00CB7A7B">
          <w:rPr>
            <w:rFonts w:ascii="Times New Roman" w:hAnsi="Times New Roman"/>
          </w:rPr>
          <w:tab/>
        </w:r>
        <w:r w:rsidR="00CB7A7B" w:rsidRPr="00CB7A7B">
          <w:rPr>
            <w:spacing w:val="-5"/>
          </w:rPr>
          <w:t>50</w:t>
        </w:r>
      </w:hyperlink>
    </w:p>
    <w:p w14:paraId="3C64F1AC" w14:textId="2B7A23B7" w:rsidR="00987DAC" w:rsidRPr="00CB7A7B" w:rsidRDefault="00987DAC">
      <w:pPr>
        <w:pStyle w:val="Brdtext"/>
        <w:tabs>
          <w:tab w:val="right" w:leader="dot" w:pos="9185"/>
        </w:tabs>
        <w:spacing w:before="120"/>
        <w:ind w:left="118"/>
      </w:pPr>
      <w:hyperlink w:anchor="_bookmark12" w:history="1">
        <w:r w:rsidRPr="00CB7A7B">
          <w:t>The</w:t>
        </w:r>
        <w:r w:rsidRPr="00CB7A7B">
          <w:rPr>
            <w:spacing w:val="-5"/>
          </w:rPr>
          <w:t xml:space="preserve"> </w:t>
        </w:r>
        <w:r w:rsidRPr="00CB7A7B">
          <w:t>parent</w:t>
        </w:r>
        <w:r w:rsidRPr="00CB7A7B">
          <w:rPr>
            <w:spacing w:val="-4"/>
          </w:rPr>
          <w:t xml:space="preserve"> </w:t>
        </w:r>
        <w:r w:rsidRPr="00CB7A7B">
          <w:t>company’s</w:t>
        </w:r>
        <w:r w:rsidRPr="00CB7A7B">
          <w:rPr>
            <w:spacing w:val="-1"/>
          </w:rPr>
          <w:t xml:space="preserve"> </w:t>
        </w:r>
        <w:r w:rsidRPr="00CB7A7B">
          <w:rPr>
            <w:spacing w:val="-4"/>
          </w:rPr>
          <w:t>notes</w:t>
        </w:r>
        <w:r w:rsidRPr="00CB7A7B">
          <w:rPr>
            <w:rFonts w:ascii="Times New Roman" w:hAnsi="Times New Roman"/>
          </w:rPr>
          <w:tab/>
        </w:r>
        <w:r w:rsidR="00CB7A7B" w:rsidRPr="00CB7A7B">
          <w:rPr>
            <w:spacing w:val="-5"/>
          </w:rPr>
          <w:t>51</w:t>
        </w:r>
      </w:hyperlink>
    </w:p>
    <w:p w14:paraId="3C64F1AD" w14:textId="77777777" w:rsidR="00987DAC" w:rsidRPr="00CB7A7B" w:rsidRDefault="00987DAC">
      <w:pPr>
        <w:sectPr w:rsidR="00987DAC" w:rsidRPr="00CB7A7B" w:rsidSect="007A599A">
          <w:headerReference w:type="default" r:id="rId10"/>
          <w:footerReference w:type="default" r:id="rId11"/>
          <w:pgSz w:w="11910" w:h="16840"/>
          <w:pgMar w:top="660" w:right="980" w:bottom="280" w:left="1300" w:header="510" w:footer="720" w:gutter="0"/>
          <w:cols w:space="720"/>
          <w:titlePg/>
          <w:docGrid w:linePitch="299"/>
        </w:sectPr>
      </w:pPr>
    </w:p>
    <w:p w14:paraId="3C64F1B2" w14:textId="5FBB30DC" w:rsidR="00987DAC" w:rsidRPr="00552E0A" w:rsidRDefault="00016B4C">
      <w:pPr>
        <w:pStyle w:val="Brdtext"/>
        <w:spacing w:line="264" w:lineRule="auto"/>
        <w:ind w:left="118" w:right="442"/>
      </w:pPr>
      <w:r w:rsidRPr="00552E0A">
        <w:lastRenderedPageBreak/>
        <w:t>The</w:t>
      </w:r>
      <w:r w:rsidRPr="00552E0A">
        <w:rPr>
          <w:spacing w:val="-2"/>
        </w:rPr>
        <w:t xml:space="preserve"> </w:t>
      </w:r>
      <w:r w:rsidRPr="00552E0A">
        <w:t>Board</w:t>
      </w:r>
      <w:r w:rsidRPr="00552E0A">
        <w:rPr>
          <w:spacing w:val="-2"/>
        </w:rPr>
        <w:t xml:space="preserve"> </w:t>
      </w:r>
      <w:r w:rsidRPr="00552E0A">
        <w:t>of</w:t>
      </w:r>
      <w:r w:rsidRPr="00552E0A">
        <w:rPr>
          <w:spacing w:val="-4"/>
        </w:rPr>
        <w:t xml:space="preserve"> </w:t>
      </w:r>
      <w:r w:rsidRPr="00552E0A">
        <w:t>Directors</w:t>
      </w:r>
      <w:r w:rsidRPr="00552E0A">
        <w:rPr>
          <w:spacing w:val="-4"/>
        </w:rPr>
        <w:t xml:space="preserve"> </w:t>
      </w:r>
      <w:r w:rsidRPr="00552E0A">
        <w:t>and</w:t>
      </w:r>
      <w:r w:rsidRPr="00552E0A">
        <w:rPr>
          <w:spacing w:val="-4"/>
        </w:rPr>
        <w:t xml:space="preserve"> </w:t>
      </w:r>
      <w:r w:rsidRPr="00552E0A">
        <w:t>CEO</w:t>
      </w:r>
      <w:r w:rsidRPr="00552E0A">
        <w:rPr>
          <w:spacing w:val="-3"/>
        </w:rPr>
        <w:t xml:space="preserve"> </w:t>
      </w:r>
      <w:r w:rsidRPr="00552E0A">
        <w:t xml:space="preserve">for </w:t>
      </w:r>
      <w:r w:rsidR="00552E0A" w:rsidRPr="00552E0A">
        <w:t>JY Holding</w:t>
      </w:r>
      <w:r w:rsidRPr="00552E0A">
        <w:rPr>
          <w:spacing w:val="-3"/>
        </w:rPr>
        <w:t xml:space="preserve"> </w:t>
      </w:r>
      <w:r w:rsidRPr="00552E0A">
        <w:t>AB</w:t>
      </w:r>
      <w:r w:rsidR="00552E0A" w:rsidRPr="00552E0A">
        <w:t xml:space="preserve"> (publ)</w:t>
      </w:r>
      <w:r w:rsidRPr="00552E0A">
        <w:rPr>
          <w:spacing w:val="-2"/>
        </w:rPr>
        <w:t xml:space="preserve"> </w:t>
      </w:r>
      <w:r w:rsidRPr="00552E0A">
        <w:t>hereby</w:t>
      </w:r>
      <w:r w:rsidRPr="00552E0A">
        <w:rPr>
          <w:spacing w:val="-4"/>
        </w:rPr>
        <w:t xml:space="preserve"> </w:t>
      </w:r>
      <w:r w:rsidRPr="00552E0A">
        <w:t>submit</w:t>
      </w:r>
      <w:r w:rsidRPr="00552E0A">
        <w:rPr>
          <w:spacing w:val="-2"/>
        </w:rPr>
        <w:t xml:space="preserve"> </w:t>
      </w:r>
      <w:r w:rsidRPr="00552E0A">
        <w:t>the</w:t>
      </w:r>
      <w:r w:rsidRPr="00552E0A">
        <w:rPr>
          <w:spacing w:val="-2"/>
        </w:rPr>
        <w:t xml:space="preserve"> </w:t>
      </w:r>
      <w:r w:rsidRPr="00552E0A">
        <w:t>Annual</w:t>
      </w:r>
      <w:r w:rsidRPr="00552E0A">
        <w:rPr>
          <w:spacing w:val="-2"/>
        </w:rPr>
        <w:t xml:space="preserve"> </w:t>
      </w:r>
      <w:r w:rsidRPr="00552E0A">
        <w:t>Report</w:t>
      </w:r>
      <w:r w:rsidRPr="00552E0A">
        <w:rPr>
          <w:spacing w:val="-2"/>
        </w:rPr>
        <w:t xml:space="preserve"> </w:t>
      </w:r>
      <w:r w:rsidRPr="00552E0A">
        <w:t>and</w:t>
      </w:r>
      <w:r w:rsidRPr="00552E0A">
        <w:rPr>
          <w:spacing w:val="-2"/>
        </w:rPr>
        <w:t xml:space="preserve"> </w:t>
      </w:r>
      <w:r w:rsidRPr="00552E0A">
        <w:t>Consolidated Financial Statements for the fiscal year 202</w:t>
      </w:r>
      <w:r w:rsidR="00552E0A" w:rsidRPr="00552E0A">
        <w:t>4</w:t>
      </w:r>
      <w:r w:rsidRPr="00552E0A">
        <w:t>-01-01 – 202</w:t>
      </w:r>
      <w:r w:rsidR="00552E0A" w:rsidRPr="00552E0A">
        <w:t>4</w:t>
      </w:r>
      <w:r w:rsidRPr="00552E0A">
        <w:t>-12-31.</w:t>
      </w:r>
    </w:p>
    <w:p w14:paraId="3C64F1B3" w14:textId="77777777" w:rsidR="00987DAC" w:rsidRPr="00552E0A" w:rsidRDefault="00987DAC">
      <w:pPr>
        <w:pStyle w:val="Brdtext"/>
      </w:pPr>
    </w:p>
    <w:p w14:paraId="3C64F1B5" w14:textId="77777777" w:rsidR="00987DAC" w:rsidRPr="001E1D15" w:rsidRDefault="00016B4C">
      <w:pPr>
        <w:pStyle w:val="Rubrik2"/>
        <w:rPr>
          <w:spacing w:val="-2"/>
          <w:lang w:val="sv-SE"/>
        </w:rPr>
      </w:pPr>
      <w:bookmarkStart w:id="0" w:name="_TOC_250011"/>
      <w:r w:rsidRPr="001E1D15">
        <w:rPr>
          <w:spacing w:val="-2"/>
          <w:lang w:val="sv-SE"/>
        </w:rPr>
        <w:t xml:space="preserve">Management </w:t>
      </w:r>
      <w:bookmarkEnd w:id="0"/>
      <w:r w:rsidRPr="001E1D15">
        <w:rPr>
          <w:spacing w:val="-2"/>
          <w:lang w:val="sv-SE"/>
        </w:rPr>
        <w:t>Report</w:t>
      </w:r>
    </w:p>
    <w:p w14:paraId="3C64F1B6" w14:textId="77777777" w:rsidR="00987DAC" w:rsidRPr="001C2B1C" w:rsidRDefault="00016B4C">
      <w:pPr>
        <w:pStyle w:val="Rubrik5"/>
        <w:spacing w:before="231"/>
      </w:pPr>
      <w:r w:rsidRPr="001C2B1C">
        <w:t>Nature</w:t>
      </w:r>
      <w:r w:rsidRPr="001C2B1C">
        <w:rPr>
          <w:spacing w:val="-8"/>
        </w:rPr>
        <w:t xml:space="preserve"> </w:t>
      </w:r>
      <w:r w:rsidRPr="001C2B1C">
        <w:t>and</w:t>
      </w:r>
      <w:r w:rsidRPr="001C2B1C">
        <w:rPr>
          <w:spacing w:val="-8"/>
        </w:rPr>
        <w:t xml:space="preserve"> </w:t>
      </w:r>
      <w:r w:rsidRPr="001C2B1C">
        <w:t>focus</w:t>
      </w:r>
      <w:r w:rsidRPr="001C2B1C">
        <w:rPr>
          <w:spacing w:val="-8"/>
        </w:rPr>
        <w:t xml:space="preserve"> </w:t>
      </w:r>
      <w:r w:rsidRPr="001C2B1C">
        <w:t>of</w:t>
      </w:r>
      <w:r w:rsidRPr="001C2B1C">
        <w:rPr>
          <w:spacing w:val="-7"/>
        </w:rPr>
        <w:t xml:space="preserve"> </w:t>
      </w:r>
      <w:r w:rsidRPr="001C2B1C">
        <w:t>the</w:t>
      </w:r>
      <w:r w:rsidRPr="001C2B1C">
        <w:rPr>
          <w:spacing w:val="-8"/>
        </w:rPr>
        <w:t xml:space="preserve"> </w:t>
      </w:r>
      <w:r w:rsidRPr="001C2B1C">
        <w:rPr>
          <w:spacing w:val="-2"/>
        </w:rPr>
        <w:t>business</w:t>
      </w:r>
    </w:p>
    <w:p w14:paraId="3C64F1B8" w14:textId="77777777" w:rsidR="00987DAC" w:rsidRPr="001C2B1C" w:rsidRDefault="00987DAC">
      <w:pPr>
        <w:pStyle w:val="Brdtext"/>
        <w:spacing w:before="23"/>
      </w:pPr>
    </w:p>
    <w:p w14:paraId="3C64F1B9" w14:textId="709E4A72" w:rsidR="00987DAC" w:rsidRPr="001C2B1C" w:rsidRDefault="001C2B1C">
      <w:pPr>
        <w:pStyle w:val="Brdtext"/>
        <w:spacing w:before="1" w:line="264" w:lineRule="auto"/>
        <w:ind w:left="118" w:right="442"/>
      </w:pPr>
      <w:r w:rsidRPr="001C2B1C">
        <w:t>JY Holding AB (publ) is the parent company of a Group that operates trampoline parks and related motion-based sports activities in Europe. The operations are mainly conducted under the JumpYard brand and the Group has operations in Sweden, Norway, Denmark, Portugal and Spain. As of the end of December, the Group operates 25 trampoline parks, of which 16 parks are in Sweden, 5 parks are in Spain, 2 parks are in Portugal, and 1 park is in Norway and Denmark respectively. The parent company JY Holding AB (publ) does not conduct any operational activities but provides certain limited corporate functions</w:t>
      </w:r>
      <w:r w:rsidR="00016B4C" w:rsidRPr="001C2B1C">
        <w:t>.</w:t>
      </w:r>
    </w:p>
    <w:p w14:paraId="3C64F1BA" w14:textId="77777777" w:rsidR="00987DAC" w:rsidRPr="001C2B1C" w:rsidRDefault="00987DAC">
      <w:pPr>
        <w:pStyle w:val="Brdtext"/>
        <w:spacing w:before="20"/>
      </w:pPr>
    </w:p>
    <w:p w14:paraId="3C64F1BB" w14:textId="6ADD5A3F" w:rsidR="00987DAC" w:rsidRPr="001C2B1C" w:rsidRDefault="001C2B1C">
      <w:pPr>
        <w:pStyle w:val="Brdtext"/>
        <w:spacing w:line="264" w:lineRule="auto"/>
        <w:ind w:left="118" w:right="535"/>
      </w:pPr>
      <w:r w:rsidRPr="001C2B1C">
        <w:t xml:space="preserve">The company </w:t>
      </w:r>
      <w:r w:rsidR="00E752F8">
        <w:t>is headquartered</w:t>
      </w:r>
      <w:r w:rsidRPr="001C2B1C">
        <w:t xml:space="preserve"> in Stockholm</w:t>
      </w:r>
      <w:r w:rsidR="00016B4C" w:rsidRPr="001C2B1C">
        <w:rPr>
          <w:spacing w:val="-2"/>
        </w:rPr>
        <w:t>.</w:t>
      </w:r>
    </w:p>
    <w:p w14:paraId="3C64F1BF" w14:textId="77777777" w:rsidR="00987DAC" w:rsidRPr="006F58D8" w:rsidRDefault="00987DAC" w:rsidP="00533425">
      <w:pPr>
        <w:pStyle w:val="Brdtext"/>
        <w:spacing w:before="20"/>
      </w:pPr>
    </w:p>
    <w:p w14:paraId="3C64F1C0" w14:textId="77777777" w:rsidR="00987DAC" w:rsidRPr="006F58D8" w:rsidRDefault="00016B4C">
      <w:pPr>
        <w:pStyle w:val="Rubrik5"/>
        <w:spacing w:before="1"/>
      </w:pPr>
      <w:r w:rsidRPr="006F58D8">
        <w:t>Significant</w:t>
      </w:r>
      <w:r w:rsidRPr="006F58D8">
        <w:rPr>
          <w:spacing w:val="-5"/>
        </w:rPr>
        <w:t xml:space="preserve"> </w:t>
      </w:r>
      <w:r w:rsidRPr="006F58D8">
        <w:t>events</w:t>
      </w:r>
      <w:r w:rsidRPr="006F58D8">
        <w:rPr>
          <w:spacing w:val="-4"/>
        </w:rPr>
        <w:t xml:space="preserve"> </w:t>
      </w:r>
      <w:r w:rsidRPr="006F58D8">
        <w:t>during</w:t>
      </w:r>
      <w:r w:rsidRPr="006F58D8">
        <w:rPr>
          <w:spacing w:val="-3"/>
        </w:rPr>
        <w:t xml:space="preserve"> </w:t>
      </w:r>
      <w:r w:rsidRPr="006F58D8">
        <w:t>the</w:t>
      </w:r>
      <w:r w:rsidRPr="006F58D8">
        <w:rPr>
          <w:spacing w:val="-4"/>
        </w:rPr>
        <w:t xml:space="preserve"> </w:t>
      </w:r>
      <w:r w:rsidRPr="006F58D8">
        <w:t>financial</w:t>
      </w:r>
      <w:r w:rsidRPr="006F58D8">
        <w:rPr>
          <w:spacing w:val="-3"/>
        </w:rPr>
        <w:t xml:space="preserve"> </w:t>
      </w:r>
      <w:r w:rsidRPr="006F58D8">
        <w:rPr>
          <w:spacing w:val="-4"/>
        </w:rPr>
        <w:t>year</w:t>
      </w:r>
    </w:p>
    <w:p w14:paraId="3C64F1C1" w14:textId="2BA017A4" w:rsidR="00987DAC" w:rsidRPr="006F2159" w:rsidRDefault="00A13166">
      <w:pPr>
        <w:pStyle w:val="Liststycke"/>
        <w:numPr>
          <w:ilvl w:val="0"/>
          <w:numId w:val="9"/>
        </w:numPr>
        <w:tabs>
          <w:tab w:val="left" w:pos="838"/>
        </w:tabs>
        <w:spacing w:before="149"/>
        <w:ind w:right="502"/>
        <w:rPr>
          <w:sz w:val="18"/>
        </w:rPr>
      </w:pPr>
      <w:r w:rsidRPr="006F58D8">
        <w:rPr>
          <w:sz w:val="18"/>
        </w:rPr>
        <w:t xml:space="preserve">New sites in Kungsbacka, Sundsvall, Heron City and Valencia were opened. JumpYard Valencia closed </w:t>
      </w:r>
      <w:r w:rsidRPr="006F2159">
        <w:rPr>
          <w:sz w:val="18"/>
        </w:rPr>
        <w:t xml:space="preserve">in October due to </w:t>
      </w:r>
      <w:r w:rsidR="0051687B">
        <w:rPr>
          <w:sz w:val="18"/>
        </w:rPr>
        <w:t xml:space="preserve">a severe </w:t>
      </w:r>
      <w:r w:rsidRPr="006F2159">
        <w:rPr>
          <w:sz w:val="18"/>
        </w:rPr>
        <w:t xml:space="preserve">storm </w:t>
      </w:r>
      <w:r w:rsidR="0051687B">
        <w:rPr>
          <w:sz w:val="18"/>
        </w:rPr>
        <w:t>and is scheduled to reopen in 2025</w:t>
      </w:r>
    </w:p>
    <w:p w14:paraId="25133E75" w14:textId="77777777" w:rsidR="00A13166" w:rsidRPr="006F2159" w:rsidRDefault="00A13166">
      <w:pPr>
        <w:pStyle w:val="Liststycke"/>
        <w:numPr>
          <w:ilvl w:val="0"/>
          <w:numId w:val="9"/>
        </w:numPr>
        <w:tabs>
          <w:tab w:val="left" w:pos="838"/>
        </w:tabs>
        <w:spacing w:before="118"/>
        <w:rPr>
          <w:sz w:val="18"/>
        </w:rPr>
      </w:pPr>
      <w:r w:rsidRPr="006F2159">
        <w:rPr>
          <w:sz w:val="18"/>
        </w:rPr>
        <w:t>Lease agreements were signed for JumpYard Täby, JumpYard Madrid/Getafe and JumpYard Frankfurt</w:t>
      </w:r>
    </w:p>
    <w:p w14:paraId="1BC157E8" w14:textId="05FE2018" w:rsidR="006F2159" w:rsidRPr="009D377B" w:rsidRDefault="006F2159">
      <w:pPr>
        <w:pStyle w:val="Liststycke"/>
        <w:numPr>
          <w:ilvl w:val="0"/>
          <w:numId w:val="9"/>
        </w:numPr>
        <w:tabs>
          <w:tab w:val="left" w:pos="838"/>
        </w:tabs>
        <w:spacing w:before="117"/>
        <w:ind w:right="798"/>
        <w:jc w:val="both"/>
        <w:rPr>
          <w:sz w:val="18"/>
        </w:rPr>
      </w:pPr>
      <w:r w:rsidRPr="006F2159">
        <w:rPr>
          <w:sz w:val="18"/>
        </w:rPr>
        <w:t>The Swedish Consumer Agency has requested a fine from the Administrative Court in Karlstad regarding a climbing incident in Karlstad in 2021 and sent a decision with an order for a fine regarding trampoline park operation, which the company has appealed to the Administrative Court in Karlstad. Both legal proceedings are ongoing and are expected to be concluded in 2025</w:t>
      </w:r>
      <w:r w:rsidR="00EA089B">
        <w:rPr>
          <w:sz w:val="18"/>
        </w:rPr>
        <w:t>. The company</w:t>
      </w:r>
      <w:r w:rsidR="00750203">
        <w:rPr>
          <w:sz w:val="18"/>
        </w:rPr>
        <w:t xml:space="preserve">’s assessment is that the maximum penalty amount will be less than </w:t>
      </w:r>
      <w:r w:rsidR="00DF403C">
        <w:rPr>
          <w:sz w:val="18"/>
        </w:rPr>
        <w:t>SEK 0,2 million.</w:t>
      </w:r>
    </w:p>
    <w:p w14:paraId="22036773" w14:textId="77777777" w:rsidR="007E2250" w:rsidRPr="007E2250" w:rsidRDefault="007E2250" w:rsidP="006F58D8">
      <w:pPr>
        <w:pStyle w:val="Liststycke"/>
        <w:numPr>
          <w:ilvl w:val="0"/>
          <w:numId w:val="9"/>
        </w:numPr>
        <w:tabs>
          <w:tab w:val="left" w:pos="838"/>
        </w:tabs>
        <w:spacing w:before="120"/>
        <w:ind w:right="487"/>
      </w:pPr>
      <w:r w:rsidRPr="007E2250">
        <w:rPr>
          <w:sz w:val="18"/>
          <w:szCs w:val="18"/>
        </w:rPr>
        <w:t>In April, a covered bond was issued amounting to SEK 400 million with maturity in October 2027. The bond is listed for trading on the Nasdaq Transfer Market (part of Nasdaq First North)</w:t>
      </w:r>
    </w:p>
    <w:p w14:paraId="3C64F1D4" w14:textId="7E040523" w:rsidR="00987DAC" w:rsidRPr="00D92C11" w:rsidRDefault="006F2159" w:rsidP="007B33FA">
      <w:pPr>
        <w:pStyle w:val="Liststycke"/>
        <w:numPr>
          <w:ilvl w:val="0"/>
          <w:numId w:val="9"/>
        </w:numPr>
        <w:tabs>
          <w:tab w:val="left" w:pos="838"/>
        </w:tabs>
        <w:spacing w:before="141"/>
        <w:ind w:right="487"/>
      </w:pPr>
      <w:r w:rsidRPr="006F2159">
        <w:rPr>
          <w:sz w:val="18"/>
        </w:rPr>
        <w:t>During the fourth quarter, the company's accounts</w:t>
      </w:r>
      <w:r w:rsidR="00E36AA9">
        <w:rPr>
          <w:sz w:val="18"/>
        </w:rPr>
        <w:t xml:space="preserve">, </w:t>
      </w:r>
      <w:r w:rsidRPr="006F2159">
        <w:rPr>
          <w:sz w:val="18"/>
        </w:rPr>
        <w:t>including comparative figures</w:t>
      </w:r>
      <w:r w:rsidR="00E36AA9">
        <w:rPr>
          <w:sz w:val="18"/>
        </w:rPr>
        <w:t>,</w:t>
      </w:r>
      <w:r w:rsidRPr="006F2159">
        <w:rPr>
          <w:sz w:val="18"/>
        </w:rPr>
        <w:t xml:space="preserve"> </w:t>
      </w:r>
      <w:r w:rsidR="00E36AA9">
        <w:rPr>
          <w:sz w:val="18"/>
        </w:rPr>
        <w:t xml:space="preserve">were </w:t>
      </w:r>
      <w:r w:rsidRPr="00AF3F23">
        <w:rPr>
          <w:sz w:val="18"/>
        </w:rPr>
        <w:t>re</w:t>
      </w:r>
      <w:r w:rsidR="00A60B55">
        <w:rPr>
          <w:sz w:val="18"/>
        </w:rPr>
        <w:t xml:space="preserve">stated </w:t>
      </w:r>
      <w:r w:rsidR="00E36AA9">
        <w:rPr>
          <w:sz w:val="18"/>
        </w:rPr>
        <w:t>i</w:t>
      </w:r>
      <w:r w:rsidR="00631B7C">
        <w:rPr>
          <w:sz w:val="18"/>
        </w:rPr>
        <w:t xml:space="preserve">n </w:t>
      </w:r>
      <w:r w:rsidR="00E36AA9">
        <w:rPr>
          <w:sz w:val="18"/>
        </w:rPr>
        <w:t>accordance</w:t>
      </w:r>
      <w:r w:rsidR="00631B7C">
        <w:rPr>
          <w:sz w:val="18"/>
        </w:rPr>
        <w:t xml:space="preserve"> with</w:t>
      </w:r>
      <w:r w:rsidRPr="00AF3F23">
        <w:rPr>
          <w:sz w:val="18"/>
        </w:rPr>
        <w:t xml:space="preserve"> IFRS</w:t>
      </w:r>
      <w:r w:rsidR="00A60B55">
        <w:rPr>
          <w:sz w:val="18"/>
        </w:rPr>
        <w:t>.</w:t>
      </w:r>
    </w:p>
    <w:p w14:paraId="7A7CA539" w14:textId="56DEBC57" w:rsidR="001E1D15" w:rsidRDefault="009A6932" w:rsidP="001E1D15">
      <w:pPr>
        <w:tabs>
          <w:tab w:val="left" w:pos="838"/>
        </w:tabs>
        <w:spacing w:before="141"/>
        <w:ind w:right="487"/>
        <w:rPr>
          <w:sz w:val="18"/>
          <w:szCs w:val="18"/>
        </w:rPr>
      </w:pPr>
      <w:r w:rsidRPr="009A6932">
        <w:rPr>
          <w:sz w:val="18"/>
          <w:szCs w:val="18"/>
        </w:rPr>
        <w:t>See the year-end report for a more qualitative review of the year.</w:t>
      </w:r>
    </w:p>
    <w:p w14:paraId="7AFE3E06" w14:textId="77777777" w:rsidR="00533425" w:rsidRPr="00AF3F23" w:rsidRDefault="00533425" w:rsidP="001E1D15">
      <w:pPr>
        <w:tabs>
          <w:tab w:val="left" w:pos="838"/>
        </w:tabs>
        <w:spacing w:before="141"/>
        <w:ind w:right="487"/>
      </w:pPr>
    </w:p>
    <w:p w14:paraId="3C64F1D5" w14:textId="6E3D11BF" w:rsidR="00987DAC" w:rsidRPr="00A8260B" w:rsidRDefault="00016B4C">
      <w:pPr>
        <w:pStyle w:val="Rubrik5"/>
        <w:rPr>
          <w:lang w:val="sv-SE"/>
        </w:rPr>
      </w:pPr>
      <w:r w:rsidRPr="00A8260B">
        <w:rPr>
          <w:lang w:val="sv-SE"/>
        </w:rPr>
        <w:t>Development of the business, position and earnings</w:t>
      </w:r>
    </w:p>
    <w:p w14:paraId="1CFD23C1" w14:textId="77777777" w:rsidR="00173D3E" w:rsidRPr="000F08E6" w:rsidRDefault="00173D3E" w:rsidP="000F08E6">
      <w:pPr>
        <w:pStyle w:val="Brdtext"/>
        <w:spacing w:before="23" w:after="1"/>
        <w:rPr>
          <w:b/>
          <w:lang w:val="sv-SE"/>
        </w:rPr>
      </w:pPr>
    </w:p>
    <w:p w14:paraId="3C64F1D6" w14:textId="35FB923C" w:rsidR="00987DAC" w:rsidRPr="00AF3F23" w:rsidRDefault="00B17547">
      <w:pPr>
        <w:pStyle w:val="Brdtext"/>
        <w:spacing w:before="26"/>
        <w:rPr>
          <w:b/>
          <w:sz w:val="20"/>
        </w:rPr>
      </w:pPr>
      <w:r>
        <w:t xml:space="preserve">  </w:t>
      </w:r>
      <w:r w:rsidRPr="00B17547">
        <w:rPr>
          <w:noProof/>
        </w:rPr>
        <w:drawing>
          <wp:inline distT="0" distB="0" distL="0" distR="0" wp14:anchorId="13CF5112" wp14:editId="05C00154">
            <wp:extent cx="5295900" cy="2572059"/>
            <wp:effectExtent l="0" t="0" r="0" b="0"/>
            <wp:docPr id="3233733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0078" cy="2574088"/>
                    </a:xfrm>
                    <a:prstGeom prst="rect">
                      <a:avLst/>
                    </a:prstGeom>
                    <a:noFill/>
                    <a:ln>
                      <a:noFill/>
                    </a:ln>
                  </pic:spPr>
                </pic:pic>
              </a:graphicData>
            </a:graphic>
          </wp:inline>
        </w:drawing>
      </w:r>
    </w:p>
    <w:p w14:paraId="3C64F20D" w14:textId="77777777" w:rsidR="00987DAC" w:rsidRPr="00766906" w:rsidRDefault="00987DAC" w:rsidP="00766906">
      <w:pPr>
        <w:pStyle w:val="Brdtext"/>
        <w:spacing w:before="81" w:after="1"/>
        <w:rPr>
          <w:sz w:val="20"/>
          <w:lang w:val="sv-SE"/>
        </w:rPr>
      </w:pPr>
    </w:p>
    <w:p w14:paraId="2AC47CAA" w14:textId="77777777" w:rsidR="002F3A1F" w:rsidRDefault="002F3A1F" w:rsidP="002F3A1F">
      <w:pPr>
        <w:pStyle w:val="Brdtext"/>
        <w:spacing w:before="178"/>
      </w:pPr>
      <w:r>
        <w:t>Adjusted EBITDA refers to EBITDA as reported in the income statement adjusted for non-recurring items, start-up costs for new facilities and non-cash costs related to employee stock options. See Note 32 for definition of alternative performance measures</w:t>
      </w:r>
    </w:p>
    <w:p w14:paraId="4EEF4645" w14:textId="77777777" w:rsidR="002F3A1F" w:rsidRPr="00533425" w:rsidRDefault="002F3A1F" w:rsidP="00533425">
      <w:pPr>
        <w:pStyle w:val="Brdtext"/>
        <w:spacing w:before="20"/>
      </w:pPr>
    </w:p>
    <w:p w14:paraId="1B47A482" w14:textId="05FA723A" w:rsidR="00173D3E" w:rsidRDefault="002F3A1F" w:rsidP="002F3A1F">
      <w:pPr>
        <w:pStyle w:val="Brdtext"/>
        <w:spacing w:before="178"/>
      </w:pPr>
      <w:r>
        <w:t>Comparative figures for 2023 have been restated due to the introduction of IFRS</w:t>
      </w:r>
    </w:p>
    <w:p w14:paraId="3C64F20E" w14:textId="08B87668" w:rsidR="00987DAC" w:rsidRPr="00AF3F23" w:rsidRDefault="00D50F2E">
      <w:pPr>
        <w:pStyle w:val="Rubrik5"/>
        <w:rPr>
          <w:spacing w:val="-2"/>
        </w:rPr>
      </w:pPr>
      <w:r>
        <w:lastRenderedPageBreak/>
        <w:t>Financial development</w:t>
      </w:r>
    </w:p>
    <w:p w14:paraId="3F53FD9F" w14:textId="77777777" w:rsidR="00BE6F18" w:rsidRPr="00AF3F23" w:rsidRDefault="00BE6F18">
      <w:pPr>
        <w:pStyle w:val="Rubrik5"/>
      </w:pPr>
    </w:p>
    <w:p w14:paraId="03B21CD6" w14:textId="77777777" w:rsidR="00AF3F23" w:rsidRPr="00AF3F23" w:rsidRDefault="00AF3F23" w:rsidP="00AF3F23">
      <w:pPr>
        <w:pStyle w:val="Brdtext"/>
        <w:spacing w:before="25" w:line="264" w:lineRule="auto"/>
        <w:ind w:left="118" w:right="446"/>
      </w:pPr>
      <w:r w:rsidRPr="00AF3F23">
        <w:t>JY Holding AB (publ) (the “Parent Company”) provides management and board services, as well as financing to the subsidiaries. The income of the Parent Company, consisting of management fees from subsidiaries and re-invoiced costs, amounted to SEK - (8.3) million during the year. The trampoline parks are operated in directly and indirectly owned subsidiaries in Sweden, Denmark, Norway, Spain and Portugal.</w:t>
      </w:r>
    </w:p>
    <w:p w14:paraId="6308FC28" w14:textId="77777777" w:rsidR="00AF3F23" w:rsidRPr="00AF3F23" w:rsidRDefault="00AF3F23" w:rsidP="00AF3F23">
      <w:pPr>
        <w:pStyle w:val="Brdtext"/>
        <w:spacing w:before="25" w:line="264" w:lineRule="auto"/>
        <w:ind w:left="118" w:right="446"/>
      </w:pPr>
    </w:p>
    <w:p w14:paraId="6ABE7022" w14:textId="77777777" w:rsidR="00AF3F23" w:rsidRPr="00AF3F23" w:rsidRDefault="00AF3F23" w:rsidP="00AF3F23">
      <w:pPr>
        <w:pStyle w:val="Brdtext"/>
        <w:spacing w:before="25" w:line="264" w:lineRule="auto"/>
        <w:ind w:left="118" w:right="446"/>
      </w:pPr>
      <w:r w:rsidRPr="00AF3F23">
        <w:t>The Group’s total income amounted to SEK 449.7 million (349.9), an increase of 28.5% (34.4) compared to the previous year. The comparable growth was -2.4% (+10.2)</w:t>
      </w:r>
    </w:p>
    <w:p w14:paraId="26E0ADE2" w14:textId="77777777" w:rsidR="00AF3F23" w:rsidRPr="00AF3F23" w:rsidRDefault="00AF3F23" w:rsidP="00AF3F23">
      <w:pPr>
        <w:pStyle w:val="Brdtext"/>
        <w:spacing w:before="25" w:line="264" w:lineRule="auto"/>
        <w:ind w:left="118" w:right="446"/>
      </w:pPr>
    </w:p>
    <w:p w14:paraId="147B6F4D" w14:textId="0DB5C837" w:rsidR="00AF3F23" w:rsidRPr="00AF3F23" w:rsidRDefault="00AF3F23" w:rsidP="00AF3F23">
      <w:pPr>
        <w:pStyle w:val="Brdtext"/>
        <w:spacing w:before="25" w:line="264" w:lineRule="auto"/>
        <w:ind w:left="118" w:right="446"/>
      </w:pPr>
      <w:r w:rsidRPr="00AF3F23">
        <w:t xml:space="preserve">The operating profit (EBIT) amounted to SEK 22.8 million (11.6) and has been charged with </w:t>
      </w:r>
      <w:r w:rsidR="00FD6BA6">
        <w:t>non-recurring items</w:t>
      </w:r>
      <w:r w:rsidRPr="00AF3F23">
        <w:t xml:space="preserve"> of SEK 23.3 million (16.8)</w:t>
      </w:r>
    </w:p>
    <w:p w14:paraId="5E69994A" w14:textId="77777777" w:rsidR="00AF3F23" w:rsidRPr="00AF3F23" w:rsidRDefault="00AF3F23" w:rsidP="00AF3F23">
      <w:pPr>
        <w:pStyle w:val="Brdtext"/>
        <w:spacing w:before="25" w:line="264" w:lineRule="auto"/>
        <w:ind w:left="118" w:right="446"/>
      </w:pPr>
    </w:p>
    <w:p w14:paraId="142A8E31" w14:textId="61A0ED0E" w:rsidR="00AF3F23" w:rsidRPr="00AF3F23" w:rsidRDefault="00AF3F23" w:rsidP="00AF3F23">
      <w:pPr>
        <w:pStyle w:val="Brdtext"/>
        <w:spacing w:before="25" w:line="264" w:lineRule="auto"/>
        <w:ind w:left="118" w:right="446"/>
      </w:pPr>
      <w:r w:rsidRPr="00AF3F23">
        <w:t>The net financial income amounted to SEK -</w:t>
      </w:r>
      <w:r w:rsidR="000001A5">
        <w:t>86,7</w:t>
      </w:r>
      <w:r w:rsidRPr="00AF3F23">
        <w:t xml:space="preserve"> million (-49.2)</w:t>
      </w:r>
      <w:r w:rsidR="00B7716E">
        <w:t xml:space="preserve">, </w:t>
      </w:r>
      <w:r w:rsidR="007B5F23">
        <w:t>of which</w:t>
      </w:r>
      <w:r w:rsidR="00B7716E">
        <w:t xml:space="preserve"> 47,2 (36,3) </w:t>
      </w:r>
      <w:r w:rsidR="007B5F23">
        <w:t>relates to leasing</w:t>
      </w:r>
    </w:p>
    <w:p w14:paraId="3F9DAD44" w14:textId="77777777" w:rsidR="00AF3F23" w:rsidRPr="00AF3F23" w:rsidRDefault="00AF3F23" w:rsidP="00AF3F23">
      <w:pPr>
        <w:pStyle w:val="Brdtext"/>
        <w:spacing w:before="25" w:line="264" w:lineRule="auto"/>
        <w:ind w:left="118" w:right="446"/>
      </w:pPr>
    </w:p>
    <w:p w14:paraId="1F0CDDC6" w14:textId="77777777" w:rsidR="00AF3F23" w:rsidRDefault="00AF3F23" w:rsidP="00AF3F23">
      <w:pPr>
        <w:pStyle w:val="Brdtext"/>
        <w:spacing w:before="25" w:line="264" w:lineRule="auto"/>
        <w:ind w:left="118" w:right="446"/>
      </w:pPr>
      <w:r w:rsidRPr="00AF3F23">
        <w:t>Reported tax amounted to SEK 13.5 million (9.1).</w:t>
      </w:r>
    </w:p>
    <w:p w14:paraId="7F20738B" w14:textId="77777777" w:rsidR="003F5CF3" w:rsidRDefault="003F5CF3" w:rsidP="00AF3F23">
      <w:pPr>
        <w:pStyle w:val="Brdtext"/>
        <w:spacing w:before="25" w:line="264" w:lineRule="auto"/>
        <w:ind w:left="118" w:right="446"/>
      </w:pPr>
    </w:p>
    <w:p w14:paraId="3F508DBE" w14:textId="3B489897" w:rsidR="003F5CF3" w:rsidRDefault="003F5CF3" w:rsidP="00AF3F23">
      <w:pPr>
        <w:pStyle w:val="Brdtext"/>
        <w:spacing w:before="25" w:line="264" w:lineRule="auto"/>
        <w:ind w:left="118" w:right="446"/>
      </w:pPr>
      <w:r w:rsidRPr="00A53562">
        <w:t xml:space="preserve">Total assets increased from SEK </w:t>
      </w:r>
      <w:r w:rsidR="00D62EA7">
        <w:t>1</w:t>
      </w:r>
      <w:r w:rsidR="000B1EB2">
        <w:t xml:space="preserve"> </w:t>
      </w:r>
      <w:r w:rsidR="00D62EA7">
        <w:t>370,7</w:t>
      </w:r>
      <w:r w:rsidRPr="00A53562">
        <w:t xml:space="preserve"> million to SEK 1</w:t>
      </w:r>
      <w:r w:rsidR="00467378">
        <w:t> 627,2</w:t>
      </w:r>
      <w:r w:rsidRPr="00A53562">
        <w:t xml:space="preserve"> million during the year.</w:t>
      </w:r>
    </w:p>
    <w:p w14:paraId="5BDC61BA" w14:textId="77777777" w:rsidR="003F5CF3" w:rsidRDefault="003F5CF3" w:rsidP="00AF3F23">
      <w:pPr>
        <w:pStyle w:val="Brdtext"/>
        <w:spacing w:before="25" w:line="264" w:lineRule="auto"/>
        <w:ind w:left="118" w:right="446"/>
      </w:pPr>
    </w:p>
    <w:p w14:paraId="3A83C378" w14:textId="774442CA" w:rsidR="003F5CF3" w:rsidRPr="00AF3F23" w:rsidRDefault="00F869D5" w:rsidP="00F869D5">
      <w:pPr>
        <w:pStyle w:val="Rubrik5"/>
      </w:pPr>
      <w:r>
        <w:t>Cash flow and financial position</w:t>
      </w:r>
    </w:p>
    <w:p w14:paraId="4BA4C720" w14:textId="77777777" w:rsidR="00AF3F23" w:rsidRPr="00AF3F23" w:rsidRDefault="00AF3F23" w:rsidP="00AF3F23">
      <w:pPr>
        <w:pStyle w:val="Brdtext"/>
        <w:spacing w:before="25" w:line="264" w:lineRule="auto"/>
        <w:ind w:left="118" w:right="446"/>
      </w:pPr>
    </w:p>
    <w:p w14:paraId="0B77FA6F" w14:textId="0E35A133" w:rsidR="00AF3F23" w:rsidRPr="00AF3F23" w:rsidRDefault="00AF3F23" w:rsidP="00AF3F23">
      <w:pPr>
        <w:pStyle w:val="Brdtext"/>
        <w:spacing w:before="25" w:line="264" w:lineRule="auto"/>
        <w:ind w:left="118" w:right="446"/>
      </w:pPr>
      <w:r w:rsidRPr="00AF3F23">
        <w:t xml:space="preserve">Cash flow from operating activities amounted to SEK </w:t>
      </w:r>
      <w:r w:rsidR="00015EA7">
        <w:t>73,7</w:t>
      </w:r>
      <w:r w:rsidRPr="00AF3F23">
        <w:t xml:space="preserve"> million (85.0).</w:t>
      </w:r>
    </w:p>
    <w:p w14:paraId="14CF25B4" w14:textId="77777777" w:rsidR="00AF3F23" w:rsidRPr="00AF3F23" w:rsidRDefault="00AF3F23" w:rsidP="00AF3F23">
      <w:pPr>
        <w:pStyle w:val="Brdtext"/>
        <w:spacing w:before="25" w:line="264" w:lineRule="auto"/>
        <w:ind w:left="118" w:right="446"/>
      </w:pPr>
    </w:p>
    <w:p w14:paraId="69E638C3" w14:textId="3EF38D2F" w:rsidR="00AF3F23" w:rsidRPr="00AF3F23" w:rsidRDefault="00AF3F23" w:rsidP="00AF3F23">
      <w:pPr>
        <w:pStyle w:val="Brdtext"/>
        <w:spacing w:before="25" w:line="264" w:lineRule="auto"/>
        <w:ind w:left="118" w:right="446"/>
      </w:pPr>
      <w:r w:rsidRPr="00AF3F23">
        <w:t>Cash flow from investing activities amounted to SEK -</w:t>
      </w:r>
      <w:r w:rsidR="0062168F">
        <w:t>141.5</w:t>
      </w:r>
      <w:r w:rsidRPr="00AF3F23">
        <w:t xml:space="preserve"> million (-293.6).</w:t>
      </w:r>
    </w:p>
    <w:p w14:paraId="401C90E5" w14:textId="77777777" w:rsidR="00AF3F23" w:rsidRPr="00AF3F23" w:rsidRDefault="00AF3F23" w:rsidP="00AF3F23">
      <w:pPr>
        <w:pStyle w:val="Brdtext"/>
        <w:spacing w:before="25" w:line="264" w:lineRule="auto"/>
        <w:ind w:left="118" w:right="446"/>
      </w:pPr>
    </w:p>
    <w:p w14:paraId="22EF64EE" w14:textId="76162BB2" w:rsidR="00AF3F23" w:rsidRPr="00AF3F23" w:rsidRDefault="00AF3F23" w:rsidP="00AF3F23">
      <w:pPr>
        <w:pStyle w:val="Brdtext"/>
        <w:spacing w:before="25" w:line="264" w:lineRule="auto"/>
        <w:ind w:left="118" w:right="446"/>
      </w:pPr>
      <w:r w:rsidRPr="00AF3F23">
        <w:t>Cash flow from financing activities amounted to SEK 103.</w:t>
      </w:r>
      <w:r w:rsidR="00467378">
        <w:t>6</w:t>
      </w:r>
      <w:r w:rsidRPr="00AF3F23">
        <w:t xml:space="preserve"> million (210.6).</w:t>
      </w:r>
    </w:p>
    <w:p w14:paraId="54FFB9BA" w14:textId="77777777" w:rsidR="00AF3F23" w:rsidRPr="00AF3F23" w:rsidRDefault="00AF3F23" w:rsidP="00AF3F23">
      <w:pPr>
        <w:pStyle w:val="Brdtext"/>
        <w:spacing w:before="25" w:line="264" w:lineRule="auto"/>
        <w:ind w:left="118" w:right="446"/>
      </w:pPr>
    </w:p>
    <w:p w14:paraId="71850868" w14:textId="77777777" w:rsidR="00AF3F23" w:rsidRPr="00AF3F23" w:rsidRDefault="00AF3F23" w:rsidP="00AF3F23">
      <w:pPr>
        <w:pStyle w:val="Brdtext"/>
        <w:spacing w:before="25" w:line="264" w:lineRule="auto"/>
        <w:ind w:left="118" w:right="446"/>
      </w:pPr>
      <w:r w:rsidRPr="00AF3F23">
        <w:t>Cash flow for the year amounted to SEK 35.8 million (1.9).</w:t>
      </w:r>
    </w:p>
    <w:p w14:paraId="17A076F1" w14:textId="77777777" w:rsidR="00AF3F23" w:rsidRPr="00AF3F23" w:rsidRDefault="00AF3F23" w:rsidP="00AF3F23">
      <w:pPr>
        <w:pStyle w:val="Brdtext"/>
        <w:spacing w:before="25" w:line="264" w:lineRule="auto"/>
        <w:ind w:left="118" w:right="446"/>
      </w:pPr>
    </w:p>
    <w:p w14:paraId="01FFCA74" w14:textId="562FF594" w:rsidR="00AF3F23" w:rsidRPr="00AF3F23" w:rsidRDefault="00AF3F23" w:rsidP="00AF3F23">
      <w:pPr>
        <w:pStyle w:val="Brdtext"/>
        <w:spacing w:before="25" w:line="264" w:lineRule="auto"/>
        <w:ind w:left="118" w:right="446"/>
      </w:pPr>
      <w:r w:rsidRPr="00AF3F23">
        <w:t xml:space="preserve">At the end of the period, cash and cash equivalents amounted to SEK </w:t>
      </w:r>
      <w:r w:rsidR="0062168F">
        <w:t>114.6</w:t>
      </w:r>
      <w:r w:rsidRPr="00AF3F23">
        <w:t xml:space="preserve"> million (</w:t>
      </w:r>
      <w:r w:rsidR="0062168F">
        <w:t>78.7</w:t>
      </w:r>
      <w:r w:rsidRPr="00AF3F23">
        <w:t>).</w:t>
      </w:r>
    </w:p>
    <w:p w14:paraId="4D0681E2" w14:textId="77777777" w:rsidR="00AF3F23" w:rsidRPr="00190466" w:rsidRDefault="00AF3F23" w:rsidP="00AF3F23">
      <w:pPr>
        <w:pStyle w:val="Brdtext"/>
        <w:spacing w:before="25" w:line="264" w:lineRule="auto"/>
        <w:ind w:left="118" w:right="446"/>
      </w:pPr>
    </w:p>
    <w:p w14:paraId="3C64F234" w14:textId="77777777" w:rsidR="00987DAC" w:rsidRDefault="00016B4C">
      <w:pPr>
        <w:pStyle w:val="Rubrik5"/>
        <w:spacing w:before="1"/>
        <w:jc w:val="both"/>
        <w:rPr>
          <w:spacing w:val="-2"/>
        </w:rPr>
      </w:pPr>
      <w:r w:rsidRPr="00A53562">
        <w:t>Significant</w:t>
      </w:r>
      <w:r w:rsidRPr="00A53562">
        <w:rPr>
          <w:spacing w:val="-4"/>
        </w:rPr>
        <w:t xml:space="preserve"> </w:t>
      </w:r>
      <w:r w:rsidRPr="00A53562">
        <w:t>risks</w:t>
      </w:r>
      <w:r w:rsidRPr="00A53562">
        <w:rPr>
          <w:spacing w:val="-4"/>
        </w:rPr>
        <w:t xml:space="preserve"> </w:t>
      </w:r>
      <w:r w:rsidRPr="00A53562">
        <w:t>and</w:t>
      </w:r>
      <w:r w:rsidRPr="00A53562">
        <w:rPr>
          <w:spacing w:val="-5"/>
        </w:rPr>
        <w:t xml:space="preserve"> </w:t>
      </w:r>
      <w:r w:rsidRPr="00A53562">
        <w:rPr>
          <w:spacing w:val="-2"/>
        </w:rPr>
        <w:t>uncertainties</w:t>
      </w:r>
    </w:p>
    <w:p w14:paraId="07AC7CC7" w14:textId="77777777" w:rsidR="0062168F" w:rsidRPr="00A53562" w:rsidRDefault="0062168F">
      <w:pPr>
        <w:pStyle w:val="Rubrik5"/>
        <w:spacing w:before="1"/>
        <w:jc w:val="both"/>
      </w:pPr>
    </w:p>
    <w:p w14:paraId="50D6D6D2" w14:textId="77777777" w:rsidR="003F3D96" w:rsidRPr="00A53562" w:rsidRDefault="003F3D96">
      <w:pPr>
        <w:pStyle w:val="Brdtext"/>
        <w:spacing w:line="264" w:lineRule="auto"/>
        <w:ind w:left="118" w:right="446"/>
      </w:pPr>
      <w:r w:rsidRPr="00A53562">
        <w:t>Since it took off in the mid-2010s, the European market for trampoline and activity parks has grown significantly, driven by several favorable trends, such as families with children allocating a larger share of their finances to family and leisure activities, trampoline parks being a natural part of counteracting the societal trend that more children and young adults are exercising too little, and counteracting the societal trend of children spending too much screen time. These positive trends have led to more and more players entering the market, which poses a risk of over-establishment. In the years before Covid-19, the Group saw signs of over-establishment in certain markets, but since then a consolidation phase has begun and the Group today sees signs that Europe's trampoline parks are being concentrated within the framework of a smaller number of larger brands, of which JumpYard is one. However, potential new competition remains an important risk factor for the Group.</w:t>
      </w:r>
    </w:p>
    <w:p w14:paraId="3C64F238" w14:textId="77777777" w:rsidR="00987DAC" w:rsidRPr="00A53562" w:rsidRDefault="00987DAC">
      <w:pPr>
        <w:pStyle w:val="Brdtext"/>
        <w:spacing w:before="22"/>
      </w:pPr>
    </w:p>
    <w:p w14:paraId="49A79293" w14:textId="4B0D2CCE" w:rsidR="00BC1A37" w:rsidRPr="00A53562" w:rsidRDefault="00BC1A37">
      <w:pPr>
        <w:pStyle w:val="Brdtext"/>
        <w:spacing w:line="264" w:lineRule="auto"/>
        <w:ind w:left="118" w:right="463"/>
      </w:pPr>
      <w:r w:rsidRPr="00A53562">
        <w:t xml:space="preserve">JumpYard, like most consumer companies, </w:t>
      </w:r>
      <w:r w:rsidR="00963528">
        <w:t>has been</w:t>
      </w:r>
      <w:r w:rsidRPr="00A53562">
        <w:t xml:space="preserve"> affected by the uncertain environment of recent years with high inflation, volatile exchange rates and a potential recession. The Group is affected both directly through increased costs as a result of the Group's lease contracts typically having index clauses linked to the consumer price index, but also indirectly through potentially lower demand. In 2022 and 2023, the negative effect has been primarily on the cost side through increased rents, while in the second half of 2024, the Group has experienced that demand has also been pressured as a result of the recession Sweden is experiencing. The Group assesses that the uncertain demand will persist for at least part of 2025. The Group's operations outside Sweden have also developed well during the second half of 2024</w:t>
      </w:r>
    </w:p>
    <w:p w14:paraId="21C00503" w14:textId="77777777" w:rsidR="00BC1A37" w:rsidRPr="00A53562" w:rsidRDefault="00BC1A37">
      <w:pPr>
        <w:pStyle w:val="Brdtext"/>
        <w:spacing w:before="1" w:line="264" w:lineRule="auto"/>
        <w:ind w:left="118" w:right="442"/>
      </w:pPr>
    </w:p>
    <w:p w14:paraId="3C64F23C" w14:textId="765A1580" w:rsidR="00987DAC" w:rsidRPr="00A53562" w:rsidRDefault="00D32B3F" w:rsidP="004F6BF4">
      <w:pPr>
        <w:pStyle w:val="Brdtext"/>
        <w:spacing w:before="1" w:line="264" w:lineRule="auto"/>
        <w:ind w:left="118" w:right="442"/>
      </w:pPr>
      <w:r w:rsidRPr="00A53562">
        <w:t>During parts of the year (April-September), JumpYard is weather-dependent, especially in the Nordics. For example, the third quarter can be both the best and the worst quarter of the year depending on weather/precipitation. In 2024, JumpYard experienced a weak Q3 due to hot/dry weather. The Group is working to reduce weather dependence through geographical diversification and specific market-related campaigns during volatile weather months.</w:t>
      </w:r>
    </w:p>
    <w:p w14:paraId="3C64F23D" w14:textId="73B1AA13" w:rsidR="00987DAC" w:rsidRPr="00A53562" w:rsidRDefault="0032235C">
      <w:pPr>
        <w:pStyle w:val="Brdtext"/>
        <w:spacing w:line="264" w:lineRule="auto"/>
        <w:ind w:left="118" w:right="535"/>
      </w:pPr>
      <w:r w:rsidRPr="00A53562">
        <w:t>In recent years, JumpYard has built up a relatively extensive operation in Iberia (7 facilities), which means that the Group is exposed to exchange rate effects. The Group uses, to a lesser extent, currency derivatives to manage this exposure</w:t>
      </w:r>
      <w:r w:rsidR="00016B4C" w:rsidRPr="00A53562">
        <w:t>.</w:t>
      </w:r>
    </w:p>
    <w:p w14:paraId="3C64F23E" w14:textId="77777777" w:rsidR="00987DAC" w:rsidRPr="00A53562" w:rsidRDefault="00987DAC">
      <w:pPr>
        <w:pStyle w:val="Brdtext"/>
        <w:spacing w:before="20"/>
      </w:pPr>
    </w:p>
    <w:p w14:paraId="3C64F23F" w14:textId="20432C8A" w:rsidR="00987DAC" w:rsidRPr="00A53562" w:rsidRDefault="00A53562">
      <w:pPr>
        <w:pStyle w:val="Brdtext"/>
        <w:ind w:left="118"/>
      </w:pPr>
      <w:r w:rsidRPr="00A53562">
        <w:t>The uncertain global situation and the Swedish recession are likely to persist during parts of 2025, and although JumpYard assesses that, based on historical development, among other things, the trampoline park industry has lower cyclical sensitivity than other consumer segments, the Group is closely following leading indicators and taking measures to manage possible periods of longer decline. For example, in 2025, the company will launch a package of measures aimed at increasing revenue and reducing costs (see below).</w:t>
      </w:r>
    </w:p>
    <w:p w14:paraId="3C64F240" w14:textId="77777777" w:rsidR="00987DAC" w:rsidRPr="00A53562" w:rsidRDefault="00987DAC">
      <w:pPr>
        <w:pStyle w:val="Brdtext"/>
        <w:spacing w:before="83"/>
      </w:pPr>
    </w:p>
    <w:p w14:paraId="3C64F241" w14:textId="77777777" w:rsidR="00987DAC" w:rsidRPr="003C0B0F" w:rsidRDefault="00016B4C">
      <w:pPr>
        <w:pStyle w:val="Rubrik8"/>
      </w:pPr>
      <w:r w:rsidRPr="003C0B0F">
        <w:t>Financial</w:t>
      </w:r>
      <w:r w:rsidRPr="003C0B0F">
        <w:rPr>
          <w:spacing w:val="-4"/>
        </w:rPr>
        <w:t xml:space="preserve"> </w:t>
      </w:r>
      <w:r w:rsidRPr="003C0B0F">
        <w:t>instruments</w:t>
      </w:r>
      <w:r w:rsidRPr="003C0B0F">
        <w:rPr>
          <w:spacing w:val="-4"/>
        </w:rPr>
        <w:t xml:space="preserve"> </w:t>
      </w:r>
      <w:r w:rsidRPr="003C0B0F">
        <w:t>and</w:t>
      </w:r>
      <w:r w:rsidRPr="003C0B0F">
        <w:rPr>
          <w:spacing w:val="-4"/>
        </w:rPr>
        <w:t xml:space="preserve"> </w:t>
      </w:r>
      <w:r w:rsidRPr="003C0B0F">
        <w:t>risk</w:t>
      </w:r>
      <w:r w:rsidRPr="003C0B0F">
        <w:rPr>
          <w:spacing w:val="-4"/>
        </w:rPr>
        <w:t xml:space="preserve"> </w:t>
      </w:r>
      <w:r w:rsidRPr="003C0B0F">
        <w:rPr>
          <w:spacing w:val="-2"/>
        </w:rPr>
        <w:t>management</w:t>
      </w:r>
    </w:p>
    <w:p w14:paraId="7F95C803" w14:textId="585F09AE" w:rsidR="00987DAC" w:rsidRDefault="003C0B0F" w:rsidP="003C0B0F">
      <w:pPr>
        <w:pStyle w:val="Brdtext"/>
        <w:spacing w:line="264" w:lineRule="auto"/>
        <w:ind w:left="118" w:right="535"/>
      </w:pPr>
      <w:r w:rsidRPr="003C0B0F">
        <w:t>The Group is exposed to a number of financial risks, including those related to exchange rates, interest rates, liquidity and credit. Risk management within the JumpYard Group aims to identify, control and reduce risks. This is done based on an assessment of the probability of the risks and their potential effect on the Group. The framework for exposure, management and monitoring of financial risks is set out in the Group's finance policy. The Group has a relatively high leverage ratio and at the same time follows an extensive investment plan, which makes it important to monitor liquidity, investments and loan terms on an ongoing basis in order to minimi</w:t>
      </w:r>
      <w:r w:rsidR="00761F9C">
        <w:t>z</w:t>
      </w:r>
      <w:r w:rsidRPr="003C0B0F">
        <w:t>e financial exposure. During the year, the Company issued secured senior bonds amounting to SEK 400 million, which carry a current interest rate of 6.25% plus STIBOR. An increase in STIBOR by 1 percentage point therefore means increased interest expenses of SEK 4 million before tax. In order to better match the currency exposure in financing with the Group's currency exposure in earnings, JumpYard has entered into a so-called "cross currency basis swap" agreement in 2024 for SEK 100 million at an exchange rate of SEK 11.30 / EUR with maturity on the same date as the Group's outstanding bonds.</w:t>
      </w:r>
    </w:p>
    <w:p w14:paraId="5CE18BE6" w14:textId="77777777" w:rsidR="007F72AB" w:rsidRDefault="007F72AB" w:rsidP="005F3DB1">
      <w:pPr>
        <w:pStyle w:val="Brdtext"/>
        <w:spacing w:line="264" w:lineRule="auto"/>
        <w:ind w:left="118" w:right="535"/>
      </w:pPr>
    </w:p>
    <w:p w14:paraId="26136B59" w14:textId="77777777" w:rsidR="00131EFA" w:rsidRDefault="007F72AB" w:rsidP="00131EFA">
      <w:pPr>
        <w:pStyle w:val="Brdtext"/>
        <w:spacing w:line="264" w:lineRule="auto"/>
        <w:ind w:left="118" w:right="535"/>
      </w:pPr>
      <w:r w:rsidRPr="007F72AB">
        <w:t>See also note 4 for a description of the Group's financial risk management.</w:t>
      </w:r>
    </w:p>
    <w:p w14:paraId="665F6361" w14:textId="77777777" w:rsidR="00131EFA" w:rsidRDefault="00131EFA" w:rsidP="00131EFA">
      <w:pPr>
        <w:pStyle w:val="Brdtext"/>
        <w:spacing w:line="264" w:lineRule="auto"/>
        <w:ind w:left="118" w:right="535"/>
      </w:pPr>
    </w:p>
    <w:p w14:paraId="672D6055" w14:textId="520A0B46" w:rsidR="009000DB" w:rsidRPr="002A4B28" w:rsidRDefault="009000DB" w:rsidP="00131EFA">
      <w:pPr>
        <w:pStyle w:val="Brdtext"/>
        <w:spacing w:line="264" w:lineRule="auto"/>
        <w:ind w:left="118" w:right="535"/>
        <w:rPr>
          <w:b/>
        </w:rPr>
      </w:pPr>
      <w:r w:rsidRPr="002A4B28">
        <w:rPr>
          <w:b/>
        </w:rPr>
        <w:t>Leases and investments for the Group's facilities</w:t>
      </w:r>
    </w:p>
    <w:p w14:paraId="3C64F248" w14:textId="52D5918B" w:rsidR="00987DAC" w:rsidRPr="009000DB" w:rsidRDefault="009000DB" w:rsidP="00131EFA">
      <w:pPr>
        <w:pStyle w:val="Brdtext"/>
        <w:spacing w:line="264" w:lineRule="auto"/>
        <w:ind w:left="118" w:right="535"/>
      </w:pPr>
      <w:r w:rsidRPr="009000DB">
        <w:t>JumpYard's business model is based on long-term leases with landlords. If market demand decreases rapidly and sharply, there is a risk that JumpYard will have difficulty meeting its financial commitments. The risk of long-term leases is managed by the Group only entering into agreements for trampoline parks in attractive locations in markets with stable and good demand. To ensure this, the Group works according to a well-developed investment model where the conclusion of new leases requires board decisions in two instances. Leases are continuously optimized to achieve, for example, more balanced terms. In order to optimize guest satisfaction, growth and return, investments in new and existing facilities are continuously evaluated. As of the balance sheet date, all of the Group's facilities were profitable at an adjusted EBITDA level.</w:t>
      </w:r>
    </w:p>
    <w:p w14:paraId="7F88C06A" w14:textId="77777777" w:rsidR="00A7417D" w:rsidRPr="00265F25" w:rsidRDefault="00A7417D" w:rsidP="00265F25">
      <w:pPr>
        <w:pStyle w:val="Brdtext"/>
        <w:spacing w:line="264" w:lineRule="auto"/>
        <w:ind w:left="118" w:right="535"/>
      </w:pPr>
    </w:p>
    <w:p w14:paraId="3C64F249" w14:textId="77777777" w:rsidR="00987DAC" w:rsidRPr="002A4B28" w:rsidRDefault="00016B4C">
      <w:pPr>
        <w:pStyle w:val="Rubrik8"/>
      </w:pPr>
      <w:r w:rsidRPr="002A4B28">
        <w:rPr>
          <w:spacing w:val="-2"/>
        </w:rPr>
        <w:t>Personnel</w:t>
      </w:r>
    </w:p>
    <w:p w14:paraId="3C64F24D" w14:textId="6324A3F2" w:rsidR="00987DAC" w:rsidRDefault="002A4B28" w:rsidP="00131EFA">
      <w:pPr>
        <w:pStyle w:val="Brdtext"/>
        <w:spacing w:line="264" w:lineRule="auto"/>
        <w:ind w:left="118" w:right="535"/>
      </w:pPr>
      <w:r w:rsidRPr="002A4B28">
        <w:t>Salary costs are the largest cost item for the Group and the employees' ability to deliver high guest satisfaction and safe guest experiences is of utmost importance to the Group's long-term success. This, combined with the fact that the Group's employees largely consist of young hourly employees, means that the Group has developed effective processes for recruiting, training, and further training personnel in high volumes. The Group strives to have the best possible working environment to get personnel to stay within, and develop with, the Group. For example, a very large proportion of operational managers within the Group are recruited internally.</w:t>
      </w:r>
      <w:r w:rsidR="00E13871">
        <w:t xml:space="preserve"> </w:t>
      </w:r>
      <w:r w:rsidRPr="002A4B28">
        <w:t xml:space="preserve">JumpYard's management consists of the CEO, CFO, COO, CMO, and country managers in the Nordics and Iberia. To increase efficiency, awareness and engagement among employees, JumpYard works </w:t>
      </w:r>
      <w:r w:rsidR="008C4B77">
        <w:t>in a structured way</w:t>
      </w:r>
      <w:r w:rsidRPr="002A4B28">
        <w:t xml:space="preserve"> with regular employee surveys, leadership issues, concept development and training. In 2024, the Group has also developed and launched a modern intranet that brings together all of the Group's employees.</w:t>
      </w:r>
    </w:p>
    <w:p w14:paraId="38338DD3" w14:textId="77777777" w:rsidR="003D675B" w:rsidRDefault="003D675B" w:rsidP="00265F25">
      <w:pPr>
        <w:pStyle w:val="Brdtext"/>
        <w:spacing w:line="264" w:lineRule="auto"/>
        <w:ind w:left="118" w:right="535"/>
      </w:pPr>
    </w:p>
    <w:p w14:paraId="00C95CEC" w14:textId="44A37C9E" w:rsidR="003D675B" w:rsidRPr="002A4B28" w:rsidRDefault="002019ED" w:rsidP="003D675B">
      <w:pPr>
        <w:pStyle w:val="Rubrik8"/>
      </w:pPr>
      <w:r>
        <w:rPr>
          <w:spacing w:val="-2"/>
        </w:rPr>
        <w:t>Capital-intensive growth</w:t>
      </w:r>
    </w:p>
    <w:p w14:paraId="614D9422" w14:textId="0417806B" w:rsidR="002A4B28" w:rsidRDefault="002019ED" w:rsidP="00131EFA">
      <w:pPr>
        <w:pStyle w:val="Brdtext"/>
        <w:spacing w:line="264" w:lineRule="auto"/>
        <w:ind w:left="118" w:right="535"/>
      </w:pPr>
      <w:r w:rsidRPr="002019ED">
        <w:t>JumpYard's growth is largely dependent on investments in new facilities, which requires continuous access to capital and good liquidity planning. The Group continuously works on various types of financing issues to be able to meet long-term capital supply, and the Group's management team reports to the Board on an ongoing basis on liquidity and liquidity forecasts for the business on a 6, 12 and 24 month basis.</w:t>
      </w:r>
    </w:p>
    <w:p w14:paraId="144D8C81" w14:textId="77777777" w:rsidR="002019ED" w:rsidRPr="00425B00" w:rsidRDefault="002019ED" w:rsidP="0055603F">
      <w:pPr>
        <w:pStyle w:val="Brdtext"/>
        <w:spacing w:line="264" w:lineRule="auto"/>
        <w:ind w:left="118" w:right="535"/>
      </w:pPr>
    </w:p>
    <w:p w14:paraId="3C64F255" w14:textId="77777777" w:rsidR="00987DAC" w:rsidRPr="009E61E9" w:rsidRDefault="00016B4C" w:rsidP="009E61E9">
      <w:pPr>
        <w:pStyle w:val="Rubrik5"/>
        <w:spacing w:before="1"/>
        <w:rPr>
          <w:lang w:val="sv-SE"/>
        </w:rPr>
      </w:pPr>
      <w:r w:rsidRPr="009E61E9">
        <w:rPr>
          <w:lang w:val="sv-SE"/>
        </w:rPr>
        <w:t>Expected future developments</w:t>
      </w:r>
    </w:p>
    <w:p w14:paraId="7C947B9F" w14:textId="77777777" w:rsidR="00032728" w:rsidRPr="000D4493" w:rsidRDefault="00032728" w:rsidP="000D4493">
      <w:pPr>
        <w:pStyle w:val="Brdtext"/>
        <w:spacing w:before="106" w:line="264" w:lineRule="auto"/>
        <w:ind w:left="118" w:right="264"/>
        <w:rPr>
          <w:lang w:val="sv-SE"/>
        </w:rPr>
      </w:pPr>
      <w:r w:rsidRPr="000D4493">
        <w:rPr>
          <w:lang w:val="sv-SE"/>
        </w:rPr>
        <w:t>The Group estimates that the challenging period for consumers in Sweden will continue for parts of 2025, which will have a negative effect on the Group's Swedish revenues. Although the Group's markets outside Sweden (especially Iberia) are expected to show good growth, the Group has implemented an action program in 2025, which includes:</w:t>
      </w:r>
    </w:p>
    <w:p w14:paraId="709D4D8A" w14:textId="441BEFE5" w:rsidR="000F1D4A" w:rsidRPr="000D4493" w:rsidRDefault="00AE7A1B" w:rsidP="00A027F3">
      <w:pPr>
        <w:pStyle w:val="Brdtext"/>
        <w:numPr>
          <w:ilvl w:val="0"/>
          <w:numId w:val="15"/>
        </w:numPr>
        <w:spacing w:before="106" w:line="264" w:lineRule="auto"/>
        <w:ind w:right="264"/>
        <w:rPr>
          <w:lang w:val="sv-SE"/>
        </w:rPr>
      </w:pPr>
      <w:r w:rsidRPr="000D4493">
        <w:rPr>
          <w:lang w:val="sv-SE"/>
        </w:rPr>
        <w:t>New marketing organization with new CMO and local marketing managers in the Nordics and Iberia.</w:t>
      </w:r>
    </w:p>
    <w:p w14:paraId="41333400" w14:textId="77777777" w:rsidR="00AE7A1B" w:rsidRPr="000D4493" w:rsidRDefault="00AE7A1B" w:rsidP="00A027F3">
      <w:pPr>
        <w:pStyle w:val="Brdtext"/>
        <w:numPr>
          <w:ilvl w:val="0"/>
          <w:numId w:val="15"/>
        </w:numPr>
        <w:spacing w:before="106" w:line="264" w:lineRule="auto"/>
        <w:ind w:right="264"/>
        <w:rPr>
          <w:lang w:val="sv-SE"/>
        </w:rPr>
      </w:pPr>
      <w:r w:rsidRPr="000D4493">
        <w:rPr>
          <w:lang w:val="sv-SE"/>
        </w:rPr>
        <w:t>Bonus program for key personnel in operations (site managers and regional managers) linked to the Group's main KPIs (revenue, personnel costs, NPS, eNPS and claims)</w:t>
      </w:r>
    </w:p>
    <w:p w14:paraId="38806DC9" w14:textId="77777777" w:rsidR="003E3FA8" w:rsidRPr="000D4493" w:rsidRDefault="003E3FA8" w:rsidP="00A027F3">
      <w:pPr>
        <w:pStyle w:val="Brdtext"/>
        <w:numPr>
          <w:ilvl w:val="0"/>
          <w:numId w:val="15"/>
        </w:numPr>
        <w:spacing w:before="106" w:line="264" w:lineRule="auto"/>
        <w:ind w:right="264"/>
        <w:rPr>
          <w:lang w:val="sv-SE"/>
        </w:rPr>
      </w:pPr>
      <w:r w:rsidRPr="000D4493">
        <w:rPr>
          <w:lang w:val="sv-SE"/>
        </w:rPr>
        <w:t>Accelerates the rollout of the Group's new party concept PartyStreet and the F&amp;B concept FoodPark</w:t>
      </w:r>
    </w:p>
    <w:p w14:paraId="01B221B0" w14:textId="77777777" w:rsidR="003E3FA8" w:rsidRPr="000D4493" w:rsidRDefault="003E3FA8" w:rsidP="00A027F3">
      <w:pPr>
        <w:pStyle w:val="Brdtext"/>
        <w:numPr>
          <w:ilvl w:val="0"/>
          <w:numId w:val="15"/>
        </w:numPr>
        <w:spacing w:before="106" w:line="264" w:lineRule="auto"/>
        <w:ind w:right="264"/>
        <w:rPr>
          <w:lang w:val="sv-SE"/>
        </w:rPr>
      </w:pPr>
      <w:r w:rsidRPr="000D4493">
        <w:rPr>
          <w:lang w:val="sv-SE"/>
        </w:rPr>
        <w:t xml:space="preserve">Selective revenue-enhancing investments in key facilities (such as (i) expanded party capacity in facilities that are running at full capacity, and (ii) investments in air conditioning in the facilities in Iberia to improve </w:t>
      </w:r>
      <w:r w:rsidRPr="000D4493">
        <w:rPr>
          <w:lang w:val="sv-SE"/>
        </w:rPr>
        <w:lastRenderedPageBreak/>
        <w:t>summer periods)</w:t>
      </w:r>
    </w:p>
    <w:p w14:paraId="609465D4" w14:textId="77777777" w:rsidR="00425B00" w:rsidRPr="000D4493" w:rsidRDefault="00425B00" w:rsidP="00A027F3">
      <w:pPr>
        <w:pStyle w:val="Brdtext"/>
        <w:numPr>
          <w:ilvl w:val="0"/>
          <w:numId w:val="15"/>
        </w:numPr>
        <w:spacing w:before="106" w:line="264" w:lineRule="auto"/>
        <w:ind w:right="264"/>
        <w:rPr>
          <w:lang w:val="sv-SE"/>
        </w:rPr>
      </w:pPr>
      <w:r w:rsidRPr="000D4493">
        <w:rPr>
          <w:lang w:val="sv-SE"/>
        </w:rPr>
        <w:t>Various cost savings on site where (i) renegotiated rents and (ii) applying for reduced property tax (good conditions) are considered most significant</w:t>
      </w:r>
    </w:p>
    <w:p w14:paraId="4651F172" w14:textId="2E35CA08" w:rsidR="00425B00" w:rsidRPr="000D4493" w:rsidRDefault="00425B00" w:rsidP="00A027F3">
      <w:pPr>
        <w:pStyle w:val="Brdtext"/>
        <w:numPr>
          <w:ilvl w:val="0"/>
          <w:numId w:val="15"/>
        </w:numPr>
        <w:spacing w:before="106" w:line="264" w:lineRule="auto"/>
        <w:ind w:right="264"/>
        <w:rPr>
          <w:lang w:val="sv-SE"/>
        </w:rPr>
      </w:pPr>
      <w:r w:rsidRPr="000D4493">
        <w:rPr>
          <w:lang w:val="sv-SE"/>
        </w:rPr>
        <w:t>Efficiency improvements within the central organization</w:t>
      </w:r>
    </w:p>
    <w:p w14:paraId="3C64F25B" w14:textId="67BE3656" w:rsidR="00987DAC" w:rsidRPr="000D4493" w:rsidRDefault="001B3D61" w:rsidP="000D4493">
      <w:pPr>
        <w:pStyle w:val="Brdtext"/>
        <w:spacing w:before="106" w:line="264" w:lineRule="auto"/>
        <w:ind w:left="118" w:right="264"/>
        <w:rPr>
          <w:lang w:val="sv-SE"/>
        </w:rPr>
      </w:pPr>
      <w:r w:rsidRPr="000D4493">
        <w:rPr>
          <w:lang w:val="sv-SE"/>
        </w:rPr>
        <w:t>The Group's assessment is that the above initiatives will contribute to significantly improved revenue potential as well as increased efficiency and lower costs</w:t>
      </w:r>
    </w:p>
    <w:p w14:paraId="73EA0C90" w14:textId="77777777" w:rsidR="001B3D61" w:rsidRPr="00425B00" w:rsidRDefault="001B3D61">
      <w:pPr>
        <w:pStyle w:val="Brdtext"/>
        <w:spacing w:before="80"/>
      </w:pPr>
    </w:p>
    <w:p w14:paraId="513303C8" w14:textId="76A1D618" w:rsidR="00EF04B9" w:rsidRDefault="00924A78">
      <w:pPr>
        <w:pStyle w:val="Brdtext"/>
        <w:spacing w:before="107"/>
        <w:ind w:left="118"/>
        <w:rPr>
          <w:spacing w:val="-2"/>
        </w:rPr>
      </w:pPr>
      <w:r w:rsidRPr="00924A78">
        <w:rPr>
          <w:noProof/>
        </w:rPr>
        <w:drawing>
          <wp:inline distT="0" distB="0" distL="0" distR="0" wp14:anchorId="543D1534" wp14:editId="38D126BE">
            <wp:extent cx="5867400" cy="2316496"/>
            <wp:effectExtent l="0" t="0" r="0" b="0"/>
            <wp:docPr id="154268462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2486" cy="2318504"/>
                    </a:xfrm>
                    <a:prstGeom prst="rect">
                      <a:avLst/>
                    </a:prstGeom>
                    <a:noFill/>
                    <a:ln>
                      <a:noFill/>
                    </a:ln>
                  </pic:spPr>
                </pic:pic>
              </a:graphicData>
            </a:graphic>
          </wp:inline>
        </w:drawing>
      </w:r>
    </w:p>
    <w:p w14:paraId="3C64F261" w14:textId="3DC4F5F6" w:rsidR="00987DAC" w:rsidRPr="00DB54FE" w:rsidRDefault="00987DAC" w:rsidP="00B505C6">
      <w:pPr>
        <w:pStyle w:val="Brdtext"/>
      </w:pPr>
    </w:p>
    <w:p w14:paraId="3C64F262" w14:textId="77777777" w:rsidR="00987DAC" w:rsidRPr="00DB54FE" w:rsidRDefault="00987DAC">
      <w:pPr>
        <w:sectPr w:rsidR="00987DAC" w:rsidRPr="00DB54FE">
          <w:headerReference w:type="default" r:id="rId14"/>
          <w:footerReference w:type="default" r:id="rId15"/>
          <w:pgSz w:w="11910" w:h="16840"/>
          <w:pgMar w:top="1420" w:right="980" w:bottom="900" w:left="1300" w:header="512" w:footer="719" w:gutter="0"/>
          <w:cols w:space="720"/>
        </w:sectPr>
      </w:pPr>
    </w:p>
    <w:p w14:paraId="3C64F264" w14:textId="77777777" w:rsidR="00987DAC" w:rsidRPr="00D21B74" w:rsidRDefault="00016B4C">
      <w:pPr>
        <w:pStyle w:val="Rubrik2"/>
        <w:rPr>
          <w:sz w:val="36"/>
          <w:szCs w:val="36"/>
          <w:lang w:val="sv-SE"/>
        </w:rPr>
      </w:pPr>
      <w:bookmarkStart w:id="1" w:name="_TOC_250010"/>
      <w:r w:rsidRPr="00D21B74">
        <w:rPr>
          <w:sz w:val="36"/>
          <w:szCs w:val="36"/>
          <w:lang w:val="sv-SE"/>
        </w:rPr>
        <w:lastRenderedPageBreak/>
        <w:t xml:space="preserve">Consolidated income </w:t>
      </w:r>
      <w:bookmarkEnd w:id="1"/>
      <w:r w:rsidRPr="00D21B74">
        <w:rPr>
          <w:sz w:val="36"/>
          <w:szCs w:val="36"/>
          <w:lang w:val="sv-SE"/>
        </w:rPr>
        <w:t>statement</w:t>
      </w:r>
    </w:p>
    <w:p w14:paraId="40AA4EE7" w14:textId="0C4D6402" w:rsidR="00B475EC" w:rsidRPr="00AF40FB" w:rsidRDefault="00742CF4">
      <w:pPr>
        <w:pStyle w:val="Brdtext"/>
        <w:spacing w:before="153"/>
        <w:rPr>
          <w:b/>
          <w:bCs/>
          <w:sz w:val="36"/>
          <w:szCs w:val="36"/>
          <w:lang w:val="sv-SE"/>
        </w:rPr>
      </w:pPr>
      <w:r w:rsidRPr="00400829">
        <w:rPr>
          <w:b/>
          <w:bCs/>
          <w:sz w:val="24"/>
          <w:szCs w:val="24"/>
          <w:lang w:val="sv-SE"/>
        </w:rPr>
        <w:t xml:space="preserve"> </w:t>
      </w:r>
      <w:r w:rsidR="00540310" w:rsidRPr="00540310">
        <w:rPr>
          <w:noProof/>
        </w:rPr>
        <w:drawing>
          <wp:inline distT="0" distB="0" distL="0" distR="0" wp14:anchorId="1221DA96" wp14:editId="0CFAE774">
            <wp:extent cx="5450424" cy="5486400"/>
            <wp:effectExtent l="0" t="0" r="0" b="0"/>
            <wp:docPr id="44137520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4728" cy="5490733"/>
                    </a:xfrm>
                    <a:prstGeom prst="rect">
                      <a:avLst/>
                    </a:prstGeom>
                    <a:noFill/>
                    <a:ln>
                      <a:noFill/>
                    </a:ln>
                  </pic:spPr>
                </pic:pic>
              </a:graphicData>
            </a:graphic>
          </wp:inline>
        </w:drawing>
      </w:r>
      <w:r w:rsidR="00E86C44" w:rsidRPr="00400829">
        <w:rPr>
          <w:b/>
          <w:bCs/>
          <w:sz w:val="24"/>
          <w:szCs w:val="24"/>
          <w:lang w:val="sv-SE"/>
        </w:rPr>
        <w:br/>
      </w:r>
      <w:r w:rsidR="00723B47" w:rsidRPr="00723B47">
        <w:rPr>
          <w:b/>
          <w:bCs/>
          <w:sz w:val="20"/>
          <w:szCs w:val="20"/>
          <w:lang w:val="sv-SE"/>
        </w:rPr>
        <w:br/>
      </w:r>
      <w:r w:rsidR="00066ADB" w:rsidRPr="00AF40FB">
        <w:rPr>
          <w:b/>
          <w:bCs/>
          <w:sz w:val="36"/>
          <w:szCs w:val="36"/>
          <w:lang w:val="sv-SE"/>
        </w:rPr>
        <w:t>Comprehensive income statement</w:t>
      </w:r>
    </w:p>
    <w:p w14:paraId="1F43EF52" w14:textId="1754AF45" w:rsidR="00AF40FB" w:rsidRPr="00602C56" w:rsidRDefault="000E3462">
      <w:pPr>
        <w:pStyle w:val="Brdtext"/>
        <w:spacing w:before="153"/>
        <w:rPr>
          <w:b/>
          <w:bCs/>
          <w:sz w:val="20"/>
          <w:szCs w:val="20"/>
          <w:lang w:val="sv-SE"/>
        </w:rPr>
      </w:pPr>
      <w:r w:rsidRPr="000E3462">
        <w:rPr>
          <w:noProof/>
        </w:rPr>
        <w:drawing>
          <wp:inline distT="0" distB="0" distL="0" distR="0" wp14:anchorId="54752565" wp14:editId="6B3519C3">
            <wp:extent cx="5508345" cy="2681144"/>
            <wp:effectExtent l="0" t="0" r="0" b="0"/>
            <wp:docPr id="196010583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2066" cy="2687822"/>
                    </a:xfrm>
                    <a:prstGeom prst="rect">
                      <a:avLst/>
                    </a:prstGeom>
                    <a:noFill/>
                    <a:ln>
                      <a:noFill/>
                    </a:ln>
                  </pic:spPr>
                </pic:pic>
              </a:graphicData>
            </a:graphic>
          </wp:inline>
        </w:drawing>
      </w:r>
    </w:p>
    <w:p w14:paraId="3C64F267" w14:textId="77777777" w:rsidR="00987DAC" w:rsidRDefault="00016B4C">
      <w:pPr>
        <w:pStyle w:val="Rubrik2"/>
        <w:rPr>
          <w:sz w:val="36"/>
          <w:szCs w:val="36"/>
          <w:lang w:val="sv-SE"/>
        </w:rPr>
      </w:pPr>
      <w:bookmarkStart w:id="2" w:name="_TOC_250009"/>
      <w:r w:rsidRPr="00EA73BB">
        <w:rPr>
          <w:sz w:val="36"/>
          <w:szCs w:val="36"/>
          <w:lang w:val="sv-SE"/>
        </w:rPr>
        <w:lastRenderedPageBreak/>
        <w:t xml:space="preserve">Consolidated balance </w:t>
      </w:r>
      <w:bookmarkEnd w:id="2"/>
      <w:r w:rsidRPr="00EA73BB">
        <w:rPr>
          <w:sz w:val="36"/>
          <w:szCs w:val="36"/>
          <w:lang w:val="sv-SE"/>
        </w:rPr>
        <w:t>sheet</w:t>
      </w:r>
    </w:p>
    <w:p w14:paraId="0B778D45" w14:textId="77777777" w:rsidR="008D674F" w:rsidRPr="00C13E1F" w:rsidRDefault="008D674F">
      <w:pPr>
        <w:pStyle w:val="Rubrik2"/>
        <w:rPr>
          <w:sz w:val="20"/>
          <w:szCs w:val="20"/>
          <w:lang w:val="sv-SE"/>
        </w:rPr>
      </w:pPr>
    </w:p>
    <w:p w14:paraId="51503E9C" w14:textId="0D9A03A3" w:rsidR="003A36D8" w:rsidRPr="00DF3627" w:rsidRDefault="004E29B9">
      <w:pPr>
        <w:pStyle w:val="Rubrik2"/>
      </w:pPr>
      <w:r w:rsidRPr="004E29B9">
        <w:rPr>
          <w:noProof/>
        </w:rPr>
        <w:drawing>
          <wp:inline distT="0" distB="0" distL="0" distR="0" wp14:anchorId="50BEFE49" wp14:editId="1E35C998">
            <wp:extent cx="5846669" cy="6819900"/>
            <wp:effectExtent l="0" t="0" r="1905" b="0"/>
            <wp:docPr id="40642231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9620" cy="6823342"/>
                    </a:xfrm>
                    <a:prstGeom prst="rect">
                      <a:avLst/>
                    </a:prstGeom>
                    <a:noFill/>
                    <a:ln>
                      <a:noFill/>
                    </a:ln>
                  </pic:spPr>
                </pic:pic>
              </a:graphicData>
            </a:graphic>
          </wp:inline>
        </w:drawing>
      </w:r>
    </w:p>
    <w:p w14:paraId="3C64F268" w14:textId="77777777" w:rsidR="00987DAC" w:rsidRPr="00DF3627" w:rsidRDefault="00987DAC">
      <w:pPr>
        <w:pStyle w:val="Brdtext"/>
        <w:spacing w:before="10"/>
        <w:rPr>
          <w:b/>
          <w:sz w:val="19"/>
        </w:rPr>
      </w:pPr>
    </w:p>
    <w:p w14:paraId="3C64F30F" w14:textId="77777777" w:rsidR="00987DAC" w:rsidRPr="00DF3627" w:rsidRDefault="00987DAC">
      <w:pPr>
        <w:jc w:val="right"/>
        <w:rPr>
          <w:sz w:val="18"/>
        </w:rPr>
        <w:sectPr w:rsidR="00987DAC" w:rsidRPr="00DF3627" w:rsidSect="003D1755">
          <w:headerReference w:type="default" r:id="rId19"/>
          <w:pgSz w:w="11910" w:h="16840"/>
          <w:pgMar w:top="1420" w:right="980" w:bottom="900" w:left="1300" w:header="512" w:footer="719" w:gutter="0"/>
          <w:cols w:space="720"/>
        </w:sectPr>
      </w:pPr>
    </w:p>
    <w:p w14:paraId="5DFA3358" w14:textId="6A3011AC" w:rsidR="00AA1D6F" w:rsidRDefault="00AA1D6F" w:rsidP="00AA1D6F">
      <w:pPr>
        <w:pStyle w:val="Rubrik2"/>
        <w:rPr>
          <w:sz w:val="36"/>
          <w:szCs w:val="36"/>
          <w:lang w:val="sv-SE"/>
        </w:rPr>
      </w:pPr>
      <w:r w:rsidRPr="00EA73BB">
        <w:rPr>
          <w:sz w:val="36"/>
          <w:szCs w:val="36"/>
          <w:lang w:val="sv-SE"/>
        </w:rPr>
        <w:lastRenderedPageBreak/>
        <w:t>Consolidated balance sheet</w:t>
      </w:r>
      <w:r>
        <w:rPr>
          <w:sz w:val="36"/>
          <w:szCs w:val="36"/>
          <w:lang w:val="sv-SE"/>
        </w:rPr>
        <w:t xml:space="preserve"> (cont’d)</w:t>
      </w:r>
    </w:p>
    <w:p w14:paraId="5DC86D80" w14:textId="77777777" w:rsidR="00E7296F" w:rsidRPr="00E7296F" w:rsidRDefault="00E7296F" w:rsidP="00AA1D6F">
      <w:pPr>
        <w:pStyle w:val="Rubrik2"/>
        <w:rPr>
          <w:sz w:val="20"/>
          <w:szCs w:val="20"/>
          <w:lang w:val="sv-SE"/>
        </w:rPr>
      </w:pPr>
    </w:p>
    <w:p w14:paraId="3C64F311" w14:textId="70FC759C" w:rsidR="00987DAC" w:rsidRPr="00DF3627" w:rsidRDefault="000E3462">
      <w:pPr>
        <w:pStyle w:val="Brdtext"/>
        <w:rPr>
          <w:b/>
          <w:sz w:val="20"/>
        </w:rPr>
      </w:pPr>
      <w:r w:rsidRPr="000E3462">
        <w:rPr>
          <w:noProof/>
        </w:rPr>
        <w:drawing>
          <wp:inline distT="0" distB="0" distL="0" distR="0" wp14:anchorId="45DB3333" wp14:editId="3A295A6F">
            <wp:extent cx="5756989" cy="6093561"/>
            <wp:effectExtent l="0" t="0" r="0" b="2540"/>
            <wp:docPr id="77990149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954" cy="6097758"/>
                    </a:xfrm>
                    <a:prstGeom prst="rect">
                      <a:avLst/>
                    </a:prstGeom>
                    <a:noFill/>
                    <a:ln>
                      <a:noFill/>
                    </a:ln>
                  </pic:spPr>
                </pic:pic>
              </a:graphicData>
            </a:graphic>
          </wp:inline>
        </w:drawing>
      </w:r>
    </w:p>
    <w:p w14:paraId="3C64F312" w14:textId="77777777" w:rsidR="00987DAC" w:rsidRPr="00DF3627" w:rsidRDefault="00987DAC">
      <w:pPr>
        <w:pStyle w:val="Brdtext"/>
        <w:spacing w:before="10"/>
        <w:rPr>
          <w:b/>
          <w:sz w:val="20"/>
        </w:rPr>
      </w:pPr>
    </w:p>
    <w:p w14:paraId="3C64F39E" w14:textId="77777777" w:rsidR="00987DAC" w:rsidRPr="008F26E2" w:rsidRDefault="00987DAC">
      <w:pPr>
        <w:jc w:val="right"/>
        <w:rPr>
          <w:color w:val="FF0000"/>
          <w:sz w:val="18"/>
        </w:rPr>
        <w:sectPr w:rsidR="00987DAC" w:rsidRPr="008F26E2">
          <w:pgSz w:w="11910" w:h="16840"/>
          <w:pgMar w:top="1420" w:right="980" w:bottom="900" w:left="1300" w:header="512" w:footer="719" w:gutter="0"/>
          <w:cols w:space="720"/>
        </w:sectPr>
      </w:pPr>
    </w:p>
    <w:p w14:paraId="6E1A5F40" w14:textId="57BE45FD" w:rsidR="00A74BFE" w:rsidRPr="007C747E" w:rsidRDefault="00016B4C" w:rsidP="0055603F">
      <w:pPr>
        <w:spacing w:line="216" w:lineRule="auto"/>
        <w:ind w:left="118" w:right="1931"/>
        <w:rPr>
          <w:b/>
          <w:bCs/>
          <w:sz w:val="36"/>
          <w:szCs w:val="36"/>
          <w:lang w:val="sv-SE"/>
        </w:rPr>
      </w:pPr>
      <w:bookmarkStart w:id="3" w:name="_TOC_250008"/>
      <w:r w:rsidRPr="007C747E">
        <w:rPr>
          <w:b/>
          <w:bCs/>
          <w:sz w:val="36"/>
          <w:szCs w:val="36"/>
          <w:lang w:val="sv-SE"/>
        </w:rPr>
        <w:lastRenderedPageBreak/>
        <w:t xml:space="preserve">Consolidated statement </w:t>
      </w:r>
      <w:bookmarkEnd w:id="3"/>
      <w:r w:rsidRPr="007C747E">
        <w:rPr>
          <w:b/>
          <w:bCs/>
          <w:sz w:val="36"/>
          <w:szCs w:val="36"/>
          <w:lang w:val="sv-SE"/>
        </w:rPr>
        <w:t>of changes in equit</w:t>
      </w:r>
      <w:r w:rsidR="0055603F" w:rsidRPr="007C747E">
        <w:rPr>
          <w:b/>
          <w:bCs/>
          <w:sz w:val="36"/>
          <w:szCs w:val="36"/>
          <w:lang w:val="sv-SE"/>
        </w:rPr>
        <w:t>y</w:t>
      </w:r>
    </w:p>
    <w:p w14:paraId="5F740951" w14:textId="77777777" w:rsidR="0055603F" w:rsidRDefault="0055603F" w:rsidP="0055603F">
      <w:pPr>
        <w:spacing w:line="216" w:lineRule="auto"/>
        <w:ind w:left="118" w:right="1931"/>
        <w:rPr>
          <w:noProof/>
        </w:rPr>
      </w:pPr>
    </w:p>
    <w:p w14:paraId="2513ECBC" w14:textId="53D9F68E" w:rsidR="0055603F" w:rsidRDefault="00337D2B" w:rsidP="009453A4">
      <w:pPr>
        <w:spacing w:line="216" w:lineRule="auto"/>
        <w:ind w:left="118" w:right="1931"/>
        <w:rPr>
          <w:noProof/>
        </w:rPr>
      </w:pPr>
      <w:r w:rsidRPr="00337D2B">
        <w:rPr>
          <w:noProof/>
        </w:rPr>
        <w:drawing>
          <wp:inline distT="0" distB="0" distL="0" distR="0" wp14:anchorId="433F309E" wp14:editId="7279C543">
            <wp:extent cx="6115050" cy="4196715"/>
            <wp:effectExtent l="0" t="0" r="0" b="0"/>
            <wp:docPr id="1752855829"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4196715"/>
                    </a:xfrm>
                    <a:prstGeom prst="rect">
                      <a:avLst/>
                    </a:prstGeom>
                    <a:noFill/>
                    <a:ln>
                      <a:noFill/>
                    </a:ln>
                  </pic:spPr>
                </pic:pic>
              </a:graphicData>
            </a:graphic>
          </wp:inline>
        </w:drawing>
      </w:r>
    </w:p>
    <w:p w14:paraId="3C64F3A1" w14:textId="77777777" w:rsidR="00987DAC" w:rsidRPr="007A179F" w:rsidRDefault="00987DAC">
      <w:pPr>
        <w:pStyle w:val="Brdtext"/>
        <w:spacing w:before="11"/>
        <w:rPr>
          <w:b/>
          <w:sz w:val="20"/>
        </w:rPr>
      </w:pPr>
    </w:p>
    <w:p w14:paraId="3C64F49B" w14:textId="77777777" w:rsidR="00987DAC" w:rsidRPr="008F26E2" w:rsidRDefault="00987DAC">
      <w:pPr>
        <w:jc w:val="right"/>
        <w:rPr>
          <w:color w:val="FF0000"/>
          <w:sz w:val="18"/>
        </w:rPr>
        <w:sectPr w:rsidR="00987DAC" w:rsidRPr="008F26E2">
          <w:pgSz w:w="11910" w:h="16840"/>
          <w:pgMar w:top="1420" w:right="980" w:bottom="900" w:left="1300" w:header="512" w:footer="719" w:gutter="0"/>
          <w:cols w:space="720"/>
        </w:sectPr>
      </w:pPr>
    </w:p>
    <w:p w14:paraId="3C64F49D" w14:textId="77777777" w:rsidR="00987DAC" w:rsidRDefault="00016B4C">
      <w:pPr>
        <w:pStyle w:val="Rubrik2"/>
        <w:rPr>
          <w:sz w:val="36"/>
          <w:szCs w:val="36"/>
          <w:lang w:val="sv-SE"/>
        </w:rPr>
      </w:pPr>
      <w:bookmarkStart w:id="4" w:name="_TOC_250007"/>
      <w:r w:rsidRPr="008856D4">
        <w:rPr>
          <w:sz w:val="36"/>
          <w:szCs w:val="36"/>
          <w:lang w:val="sv-SE"/>
        </w:rPr>
        <w:lastRenderedPageBreak/>
        <w:t xml:space="preserve">Consolidated cash flow </w:t>
      </w:r>
      <w:bookmarkEnd w:id="4"/>
      <w:r w:rsidRPr="008856D4">
        <w:rPr>
          <w:sz w:val="36"/>
          <w:szCs w:val="36"/>
          <w:lang w:val="sv-SE"/>
        </w:rPr>
        <w:t>analysis</w:t>
      </w:r>
    </w:p>
    <w:p w14:paraId="67C9CE75" w14:textId="77777777" w:rsidR="00731CB6" w:rsidRPr="00731CB6" w:rsidRDefault="00731CB6">
      <w:pPr>
        <w:pStyle w:val="Rubrik2"/>
        <w:rPr>
          <w:sz w:val="20"/>
          <w:szCs w:val="20"/>
          <w:lang w:val="sv-SE"/>
        </w:rPr>
      </w:pPr>
    </w:p>
    <w:p w14:paraId="272697E3" w14:textId="42E600BE" w:rsidR="003B646F" w:rsidRDefault="00421BCE">
      <w:pPr>
        <w:pStyle w:val="Rubrik2"/>
        <w:rPr>
          <w:sz w:val="20"/>
          <w:szCs w:val="20"/>
          <w:lang w:val="sv-SE"/>
        </w:rPr>
      </w:pPr>
      <w:r w:rsidRPr="00421BCE">
        <w:rPr>
          <w:noProof/>
        </w:rPr>
        <w:drawing>
          <wp:inline distT="0" distB="0" distL="0" distR="0" wp14:anchorId="693BCB8D" wp14:editId="1CE61CA7">
            <wp:extent cx="5772150" cy="7496175"/>
            <wp:effectExtent l="0" t="0" r="0" b="9525"/>
            <wp:docPr id="205506229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2150" cy="7496175"/>
                    </a:xfrm>
                    <a:prstGeom prst="rect">
                      <a:avLst/>
                    </a:prstGeom>
                    <a:noFill/>
                    <a:ln>
                      <a:noFill/>
                    </a:ln>
                  </pic:spPr>
                </pic:pic>
              </a:graphicData>
            </a:graphic>
          </wp:inline>
        </w:drawing>
      </w:r>
      <w:r w:rsidR="003B646F">
        <w:rPr>
          <w:sz w:val="20"/>
          <w:szCs w:val="20"/>
          <w:lang w:val="sv-SE"/>
        </w:rPr>
        <w:br/>
      </w:r>
    </w:p>
    <w:p w14:paraId="49CF25E7" w14:textId="77777777" w:rsidR="003B646F" w:rsidRDefault="003B646F">
      <w:pPr>
        <w:rPr>
          <w:b/>
          <w:bCs/>
          <w:sz w:val="20"/>
          <w:szCs w:val="20"/>
          <w:lang w:val="sv-SE"/>
        </w:rPr>
      </w:pPr>
      <w:r>
        <w:rPr>
          <w:sz w:val="20"/>
          <w:szCs w:val="20"/>
          <w:lang w:val="sv-SE"/>
        </w:rPr>
        <w:br w:type="page"/>
      </w:r>
    </w:p>
    <w:p w14:paraId="3C64F54B" w14:textId="25D246E9" w:rsidR="00987DAC" w:rsidRPr="005F1E56" w:rsidRDefault="00016B4C">
      <w:pPr>
        <w:pStyle w:val="Rubrik2"/>
        <w:rPr>
          <w:sz w:val="36"/>
          <w:szCs w:val="36"/>
          <w:lang w:val="sv-SE"/>
        </w:rPr>
      </w:pPr>
      <w:bookmarkStart w:id="5" w:name="_TOC_250006"/>
      <w:r w:rsidRPr="005F1E56">
        <w:rPr>
          <w:sz w:val="36"/>
          <w:szCs w:val="36"/>
          <w:lang w:val="sv-SE"/>
        </w:rPr>
        <w:lastRenderedPageBreak/>
        <w:t xml:space="preserve">Group </w:t>
      </w:r>
      <w:bookmarkEnd w:id="5"/>
      <w:r w:rsidRPr="005F1E56">
        <w:rPr>
          <w:sz w:val="36"/>
          <w:szCs w:val="36"/>
          <w:lang w:val="sv-SE"/>
        </w:rPr>
        <w:t>notes</w:t>
      </w:r>
    </w:p>
    <w:p w14:paraId="3C64F54C" w14:textId="77777777" w:rsidR="00987DAC" w:rsidRPr="00BC18FC" w:rsidRDefault="00016B4C">
      <w:pPr>
        <w:pStyle w:val="Rubrik5"/>
        <w:spacing w:before="229"/>
      </w:pPr>
      <w:r w:rsidRPr="00BC18FC">
        <w:t>Note</w:t>
      </w:r>
      <w:r w:rsidRPr="00BC18FC">
        <w:rPr>
          <w:spacing w:val="-4"/>
        </w:rPr>
        <w:t xml:space="preserve"> </w:t>
      </w:r>
      <w:r w:rsidRPr="00BC18FC">
        <w:t>1</w:t>
      </w:r>
      <w:r w:rsidRPr="00BC18FC">
        <w:rPr>
          <w:spacing w:val="-3"/>
        </w:rPr>
        <w:t xml:space="preserve"> </w:t>
      </w:r>
      <w:r w:rsidRPr="00BC18FC">
        <w:t>General</w:t>
      </w:r>
      <w:r w:rsidRPr="00BC18FC">
        <w:rPr>
          <w:spacing w:val="-5"/>
        </w:rPr>
        <w:t xml:space="preserve"> </w:t>
      </w:r>
      <w:r w:rsidRPr="00BC18FC">
        <w:rPr>
          <w:spacing w:val="-2"/>
        </w:rPr>
        <w:t>information</w:t>
      </w:r>
    </w:p>
    <w:p w14:paraId="3C64F54E" w14:textId="7ABEBB82" w:rsidR="00987DAC" w:rsidRPr="00BC18FC" w:rsidRDefault="00BC18FC" w:rsidP="00BC18FC">
      <w:pPr>
        <w:pStyle w:val="Brdtext"/>
        <w:spacing w:before="107" w:line="264" w:lineRule="auto"/>
        <w:ind w:left="118" w:right="463"/>
      </w:pPr>
      <w:r w:rsidRPr="00BC18FC">
        <w:t xml:space="preserve">JY Holding AB (publ) with corporate registration number 559154-1023 is a limited liability company registered in Sweden with its registered office in Stockholm. The address of the head office is Sankt Eriksgatan 117, 113 43 STOCKHOLM. The Group's operations include operating and developing trampoline parks and movement-based sports activities. The composition of the Group is shown in </w:t>
      </w:r>
      <w:r w:rsidR="00844DAB">
        <w:t>n</w:t>
      </w:r>
      <w:r w:rsidRPr="00BC18FC">
        <w:t>ote 10 of the Parent Company. The Parent Company is JY Holding AB (publ). The Parent Company's operations primarily consist of financing services and other administrative services to other Group companies.</w:t>
      </w:r>
    </w:p>
    <w:p w14:paraId="6419A862" w14:textId="77777777" w:rsidR="00BC18FC" w:rsidRPr="004C58B3" w:rsidRDefault="00BC18FC" w:rsidP="004C58B3">
      <w:pPr>
        <w:pStyle w:val="Rubrik8"/>
        <w:rPr>
          <w:spacing w:val="-2"/>
        </w:rPr>
      </w:pPr>
    </w:p>
    <w:p w14:paraId="3C64F54F" w14:textId="77777777" w:rsidR="00987DAC" w:rsidRPr="004C58B3" w:rsidRDefault="00016B4C">
      <w:pPr>
        <w:pStyle w:val="Rubrik5"/>
        <w:rPr>
          <w:spacing w:val="-2"/>
        </w:rPr>
      </w:pPr>
      <w:r w:rsidRPr="004C58B3">
        <w:t>Note</w:t>
      </w:r>
      <w:r w:rsidRPr="004C58B3">
        <w:rPr>
          <w:spacing w:val="-4"/>
        </w:rPr>
        <w:t xml:space="preserve"> </w:t>
      </w:r>
      <w:r w:rsidRPr="004C58B3">
        <w:t>2</w:t>
      </w:r>
      <w:r w:rsidRPr="004C58B3">
        <w:rPr>
          <w:spacing w:val="-3"/>
        </w:rPr>
        <w:t xml:space="preserve"> </w:t>
      </w:r>
      <w:r w:rsidRPr="004C58B3">
        <w:t>Significant</w:t>
      </w:r>
      <w:r w:rsidRPr="004C58B3">
        <w:rPr>
          <w:spacing w:val="-5"/>
        </w:rPr>
        <w:t xml:space="preserve"> </w:t>
      </w:r>
      <w:r w:rsidRPr="004C58B3">
        <w:t>accounting</w:t>
      </w:r>
      <w:r w:rsidRPr="004C58B3">
        <w:rPr>
          <w:spacing w:val="-4"/>
        </w:rPr>
        <w:t xml:space="preserve"> </w:t>
      </w:r>
      <w:r w:rsidRPr="004C58B3">
        <w:t>and</w:t>
      </w:r>
      <w:r w:rsidRPr="004C58B3">
        <w:rPr>
          <w:spacing w:val="-3"/>
        </w:rPr>
        <w:t xml:space="preserve"> </w:t>
      </w:r>
      <w:r w:rsidRPr="004C58B3">
        <w:t>valuation</w:t>
      </w:r>
      <w:r w:rsidRPr="004C58B3">
        <w:rPr>
          <w:spacing w:val="-4"/>
        </w:rPr>
        <w:t xml:space="preserve"> </w:t>
      </w:r>
      <w:r w:rsidRPr="004C58B3">
        <w:rPr>
          <w:spacing w:val="-2"/>
        </w:rPr>
        <w:t>principles</w:t>
      </w:r>
    </w:p>
    <w:p w14:paraId="5944E425" w14:textId="77777777" w:rsidR="002C72DE" w:rsidRPr="00130421" w:rsidRDefault="002C72DE" w:rsidP="00130421">
      <w:pPr>
        <w:pStyle w:val="Rubrik8"/>
        <w:rPr>
          <w:spacing w:val="-2"/>
        </w:rPr>
      </w:pPr>
    </w:p>
    <w:p w14:paraId="66FD0394" w14:textId="77777777" w:rsidR="002C72DE" w:rsidRPr="00130421" w:rsidRDefault="002C72DE" w:rsidP="00130421">
      <w:pPr>
        <w:pStyle w:val="Rubrik8"/>
        <w:rPr>
          <w:spacing w:val="-2"/>
        </w:rPr>
      </w:pPr>
      <w:r w:rsidRPr="00130421">
        <w:rPr>
          <w:spacing w:val="-2"/>
        </w:rPr>
        <w:t>Basis of preparation</w:t>
      </w:r>
    </w:p>
    <w:p w14:paraId="6688962B" w14:textId="167EE65B" w:rsidR="002C72DE" w:rsidRPr="00936613" w:rsidRDefault="002C72DE" w:rsidP="002C72DE">
      <w:pPr>
        <w:pStyle w:val="Brdtext"/>
        <w:spacing w:before="107" w:line="264" w:lineRule="auto"/>
        <w:ind w:left="118" w:right="463"/>
      </w:pPr>
      <w:r w:rsidRPr="00936613">
        <w:t xml:space="preserve">The consolidated financial statements have been prepared in accordance with the EU-approved International Financial Reporting Standards (IFRS) and IFRS Interpretations Committee (IFRS IC) as adopted by the EU. The Group also applies the Swedish Annual Accounts Act and the Swedish Financial Reporting Board's recommendation RFR 1, Supplementary Accounting Rules for Groups. In the consolidated financial statements, items have been valued at </w:t>
      </w:r>
      <w:r w:rsidR="005633A3">
        <w:t xml:space="preserve">acquisition </w:t>
      </w:r>
      <w:r w:rsidRPr="00936613">
        <w:t>cost, except for certain financial instruments that are valued at fair value</w:t>
      </w:r>
      <w:r w:rsidR="00B86A89">
        <w:t xml:space="preserve">; </w:t>
      </w:r>
      <w:r w:rsidR="00EF1A65">
        <w:t xml:space="preserve">hedging swaps and </w:t>
      </w:r>
      <w:r w:rsidR="008B0E41">
        <w:t>contingent considerations</w:t>
      </w:r>
      <w:r w:rsidRPr="00936613">
        <w:t>. The significant accounting policies applied are described below.</w:t>
      </w:r>
      <w:r w:rsidR="00D2618E">
        <w:t xml:space="preserve"> </w:t>
      </w:r>
      <w:r w:rsidRPr="00936613">
        <w:t>These are the first consolidated financial statements prepared by Jump</w:t>
      </w:r>
      <w:r w:rsidR="00F81961">
        <w:t>Y</w:t>
      </w:r>
      <w:r w:rsidRPr="00936613">
        <w:t xml:space="preserve">ard under IFRS. In preparing these consolidated financial statements, the provisions of IFRS 1, First-time Adoption of International Financial Reporting Standards, have been applied, resulting in retrospective application of IFRS. The date of transition to IFRS has been set at 1 January 2023. However, there are a number of optional and mandatory exceptions to this general rule. The most significant exceptions to retrospective application that have been applied are listed below. </w:t>
      </w:r>
      <w:r w:rsidR="00E20BEE">
        <w:t>See note 3 for more information.</w:t>
      </w:r>
    </w:p>
    <w:p w14:paraId="20F5DE11" w14:textId="77777777" w:rsidR="002C72DE" w:rsidRPr="009F6A45" w:rsidRDefault="002C72DE" w:rsidP="009F6A45">
      <w:pPr>
        <w:pStyle w:val="Brdtext"/>
        <w:spacing w:before="19"/>
        <w:jc w:val="both"/>
        <w:rPr>
          <w:lang w:val="sv-SE"/>
        </w:rPr>
      </w:pPr>
    </w:p>
    <w:p w14:paraId="2F9176FC" w14:textId="77777777" w:rsidR="00FF42BB" w:rsidRDefault="002C72DE" w:rsidP="00FF42BB">
      <w:pPr>
        <w:ind w:left="118"/>
        <w:rPr>
          <w:i/>
          <w:sz w:val="18"/>
          <w:lang w:val="sv-SE"/>
        </w:rPr>
      </w:pPr>
      <w:r w:rsidRPr="00FF42BB">
        <w:rPr>
          <w:i/>
          <w:sz w:val="18"/>
          <w:lang w:val="sv-SE"/>
        </w:rPr>
        <w:t>New and amended standards and interpretations not yet effective</w:t>
      </w:r>
    </w:p>
    <w:p w14:paraId="3F399874" w14:textId="047FA2B4" w:rsidR="002C72DE" w:rsidRPr="008A0A4A" w:rsidRDefault="002C72DE" w:rsidP="008A0A4A">
      <w:pPr>
        <w:pStyle w:val="Brdtext"/>
        <w:spacing w:before="21" w:line="264" w:lineRule="auto"/>
        <w:ind w:left="118" w:right="262"/>
        <w:rPr>
          <w:lang w:val="sv-SE"/>
        </w:rPr>
      </w:pPr>
      <w:r w:rsidRPr="008A0A4A">
        <w:rPr>
          <w:lang w:val="sv-SE"/>
        </w:rPr>
        <w:t>The new and amended standards and interpretations issued but effective for annual periods beginning after 1 January 2025 have not yet been applied by the Group. The Group will be subject to IFRS 18 but has not yet started work on the transition.</w:t>
      </w:r>
    </w:p>
    <w:p w14:paraId="1F9A82AB" w14:textId="77777777" w:rsidR="002C72DE" w:rsidRPr="008A0A4A" w:rsidRDefault="002C72DE" w:rsidP="008A0A4A">
      <w:pPr>
        <w:pStyle w:val="Brdtext"/>
        <w:spacing w:before="21" w:line="264" w:lineRule="auto"/>
        <w:ind w:left="118" w:right="262"/>
        <w:rPr>
          <w:lang w:val="sv-SE"/>
        </w:rPr>
      </w:pPr>
    </w:p>
    <w:p w14:paraId="05939C83" w14:textId="77777777" w:rsidR="002C72DE" w:rsidRPr="00130421" w:rsidRDefault="002C72DE" w:rsidP="00130421">
      <w:pPr>
        <w:pStyle w:val="Rubrik8"/>
        <w:rPr>
          <w:spacing w:val="-2"/>
        </w:rPr>
      </w:pPr>
      <w:r w:rsidRPr="00130421">
        <w:rPr>
          <w:spacing w:val="-2"/>
        </w:rPr>
        <w:t>Consolidated financial statements</w:t>
      </w:r>
    </w:p>
    <w:p w14:paraId="011BFF40" w14:textId="1F2731F6" w:rsidR="002C72DE" w:rsidRPr="005F688D" w:rsidRDefault="002C72DE" w:rsidP="005F688D">
      <w:pPr>
        <w:pStyle w:val="Brdtext"/>
        <w:spacing w:line="264" w:lineRule="auto"/>
        <w:ind w:left="118" w:right="264"/>
        <w:rPr>
          <w:lang w:val="sv-SE"/>
        </w:rPr>
      </w:pPr>
      <w:r w:rsidRPr="00936613">
        <w:t xml:space="preserve">The consolidated financial statements include the parent company JY Holding AB (publ) and the companies over which the parent company has a controlling influence. Control arises when the Group is exposed to, or has rights to, variable returns from its involvement with an entity and has the ability to use its power over the entity to affect those returns. Control normally exists when the parent company directly or indirectly holds shares representing </w:t>
      </w:r>
      <w:r w:rsidRPr="005F688D">
        <w:rPr>
          <w:lang w:val="sv-SE"/>
        </w:rPr>
        <w:t>more than 50% of the voting rights.</w:t>
      </w:r>
    </w:p>
    <w:p w14:paraId="4C9AAC77" w14:textId="77777777" w:rsidR="005E7BE8" w:rsidRPr="005F688D" w:rsidRDefault="005E7BE8" w:rsidP="005F688D">
      <w:pPr>
        <w:pStyle w:val="Brdtext"/>
        <w:spacing w:line="264" w:lineRule="auto"/>
        <w:ind w:left="118" w:right="264"/>
        <w:rPr>
          <w:lang w:val="sv-SE"/>
        </w:rPr>
      </w:pPr>
    </w:p>
    <w:p w14:paraId="2A1BDFF1" w14:textId="16F796E2" w:rsidR="002C72DE" w:rsidRPr="005F688D" w:rsidRDefault="002C72DE" w:rsidP="005F688D">
      <w:pPr>
        <w:pStyle w:val="Brdtext"/>
        <w:spacing w:line="264" w:lineRule="auto"/>
        <w:ind w:left="118" w:right="264"/>
        <w:rPr>
          <w:lang w:val="sv-SE"/>
        </w:rPr>
      </w:pPr>
      <w:r w:rsidRPr="00936613">
        <w:t>Subsidiaries are included in the consolidated financial statements from the date of acquisition until the date on which the parent no longer has control over the subsidiary. The accounting policies of subsidiaries have been adjusted where necessary to conform to the accounting policies of the group. All intra-group transactions, balances and unreali</w:t>
      </w:r>
      <w:r w:rsidR="00FA4AE4">
        <w:t>z</w:t>
      </w:r>
      <w:r w:rsidRPr="00936613">
        <w:t xml:space="preserve">ed gains and losses arising from intra-group transactions have been eliminated in preparing </w:t>
      </w:r>
      <w:r w:rsidRPr="005F688D">
        <w:rPr>
          <w:lang w:val="sv-SE"/>
        </w:rPr>
        <w:t>the consolidated financial statements.</w:t>
      </w:r>
    </w:p>
    <w:p w14:paraId="0A6AE20B" w14:textId="77777777" w:rsidR="002C72DE" w:rsidRPr="005F688D" w:rsidRDefault="002C72DE" w:rsidP="005F688D">
      <w:pPr>
        <w:pStyle w:val="Brdtext"/>
        <w:spacing w:line="264" w:lineRule="auto"/>
        <w:ind w:left="118" w:right="264"/>
        <w:rPr>
          <w:lang w:val="sv-SE"/>
        </w:rPr>
      </w:pPr>
    </w:p>
    <w:p w14:paraId="416E7588" w14:textId="77777777" w:rsidR="002C72DE" w:rsidRPr="00130421" w:rsidRDefault="002C72DE" w:rsidP="00130421">
      <w:pPr>
        <w:pStyle w:val="Rubrik8"/>
        <w:rPr>
          <w:spacing w:val="-2"/>
        </w:rPr>
      </w:pPr>
      <w:r w:rsidRPr="00130421">
        <w:rPr>
          <w:spacing w:val="-2"/>
        </w:rPr>
        <w:t>Preference shares</w:t>
      </w:r>
    </w:p>
    <w:p w14:paraId="459FC713" w14:textId="77777777" w:rsidR="002C72DE" w:rsidRPr="005F688D" w:rsidRDefault="002C72DE" w:rsidP="005F688D">
      <w:pPr>
        <w:pStyle w:val="Brdtext"/>
        <w:spacing w:line="264" w:lineRule="auto"/>
        <w:ind w:left="118" w:right="264"/>
        <w:rPr>
          <w:lang w:val="sv-SE"/>
        </w:rPr>
      </w:pPr>
      <w:r w:rsidRPr="00936613">
        <w:t xml:space="preserve">The company has issued preference shares that are classified as equity under IFRS. The classification is based on the fact that the preference shares do not contain any contractual obligation for the company to repay the </w:t>
      </w:r>
      <w:r w:rsidRPr="005F688D">
        <w:rPr>
          <w:lang w:val="sv-SE"/>
        </w:rPr>
        <w:t>principal amount to the holders.</w:t>
      </w:r>
    </w:p>
    <w:p w14:paraId="1DA4EBD6" w14:textId="77777777" w:rsidR="002C72DE" w:rsidRPr="005F688D" w:rsidRDefault="002C72DE" w:rsidP="005F688D">
      <w:pPr>
        <w:pStyle w:val="Brdtext"/>
        <w:spacing w:line="264" w:lineRule="auto"/>
        <w:ind w:left="118" w:right="264"/>
        <w:rPr>
          <w:lang w:val="sv-SE"/>
        </w:rPr>
      </w:pPr>
    </w:p>
    <w:p w14:paraId="5AF8329A" w14:textId="77777777" w:rsidR="002C72DE" w:rsidRPr="00130421" w:rsidRDefault="002C72DE" w:rsidP="00130421">
      <w:pPr>
        <w:pStyle w:val="Rubrik8"/>
        <w:rPr>
          <w:spacing w:val="-2"/>
        </w:rPr>
      </w:pPr>
      <w:r w:rsidRPr="00130421">
        <w:rPr>
          <w:spacing w:val="-2"/>
        </w:rPr>
        <w:t>Goodwill</w:t>
      </w:r>
    </w:p>
    <w:p w14:paraId="0BD9ECC6" w14:textId="77777777" w:rsidR="007F0E37" w:rsidRPr="003F1239" w:rsidRDefault="002C72DE" w:rsidP="003F1239">
      <w:pPr>
        <w:pStyle w:val="Brdtext"/>
        <w:spacing w:line="264" w:lineRule="auto"/>
        <w:ind w:left="118" w:right="264"/>
        <w:rPr>
          <w:lang w:val="sv-SE"/>
        </w:rPr>
      </w:pPr>
      <w:r w:rsidRPr="003F1239">
        <w:rPr>
          <w:lang w:val="sv-SE"/>
        </w:rPr>
        <w:t>Goodwill arising on consolidation represents the difference between the cost of an acquisition and the Group's share of the fair value of the identifiable assets and liabilities of an acquired subsidiary at the date of acquisition. At the date of acquisition, goodwill is recogni</w:t>
      </w:r>
      <w:r w:rsidR="00206E28" w:rsidRPr="003F1239">
        <w:rPr>
          <w:lang w:val="sv-SE"/>
        </w:rPr>
        <w:t>z</w:t>
      </w:r>
      <w:r w:rsidRPr="003F1239">
        <w:rPr>
          <w:lang w:val="sv-SE"/>
        </w:rPr>
        <w:t>ed at cost and, after initial recognition, it is measured at cost less any accumulated impairment losses. For the purpose of impairment testing, goodwill is allocated to the cash-generating units expected to benefit from the acquisition.</w:t>
      </w:r>
    </w:p>
    <w:p w14:paraId="0AFC5EEB" w14:textId="77777777" w:rsidR="007F0E37" w:rsidRPr="003F1239" w:rsidRDefault="007F0E37" w:rsidP="003F1239">
      <w:pPr>
        <w:pStyle w:val="Brdtext"/>
        <w:spacing w:line="264" w:lineRule="auto"/>
        <w:ind w:left="118" w:right="264"/>
        <w:rPr>
          <w:lang w:val="sv-SE"/>
        </w:rPr>
      </w:pPr>
    </w:p>
    <w:p w14:paraId="1720CF23" w14:textId="0AA840BD" w:rsidR="002C72DE" w:rsidRPr="00AF767A" w:rsidRDefault="002C72DE" w:rsidP="003F1239">
      <w:pPr>
        <w:pStyle w:val="Brdtext"/>
        <w:spacing w:line="264" w:lineRule="auto"/>
        <w:ind w:left="118" w:right="264"/>
        <w:rPr>
          <w:lang w:val="sv-SE"/>
        </w:rPr>
      </w:pPr>
      <w:r w:rsidRPr="00936613">
        <w:t xml:space="preserve">The Group's goodwill is allocated in its entirety to the Nordic segment. A cash-generating unit to which goodwill has been allocated is tested for impairment annually, or more frequently if there is an indication that the cash-generating </w:t>
      </w:r>
      <w:r w:rsidRPr="00AF767A">
        <w:rPr>
          <w:lang w:val="sv-SE"/>
        </w:rPr>
        <w:t>unit may be impaired.</w:t>
      </w:r>
    </w:p>
    <w:p w14:paraId="33861BE4" w14:textId="77777777" w:rsidR="00BF06E5" w:rsidRDefault="00BF06E5">
      <w:pPr>
        <w:rPr>
          <w:sz w:val="18"/>
          <w:szCs w:val="18"/>
          <w:lang w:val="sv-SE"/>
        </w:rPr>
      </w:pPr>
      <w:r>
        <w:rPr>
          <w:lang w:val="sv-SE"/>
        </w:rPr>
        <w:br w:type="page"/>
      </w:r>
    </w:p>
    <w:p w14:paraId="3FF90BC5" w14:textId="089E1486" w:rsidR="000214D1" w:rsidRPr="00945955" w:rsidRDefault="002C72DE" w:rsidP="00945955">
      <w:pPr>
        <w:pStyle w:val="Brdtext"/>
        <w:spacing w:line="264" w:lineRule="auto"/>
        <w:ind w:left="118" w:right="264"/>
        <w:rPr>
          <w:lang w:val="sv-SE"/>
        </w:rPr>
      </w:pPr>
      <w:r w:rsidRPr="00945955">
        <w:rPr>
          <w:lang w:val="sv-SE"/>
        </w:rPr>
        <w:lastRenderedPageBreak/>
        <w:t>If the recoverable amount of a cash-generating unit is less than its carrying amount, the impairment loss is allocated first to the carrying amount of goodwill allocated to the cash-generating unit and then to other assets, based on the carrying amount of each asset allocated to the cash-generating unit. Any impairment loss on goodwill is recogni</w:t>
      </w:r>
      <w:r w:rsidR="00263C59" w:rsidRPr="00945955">
        <w:rPr>
          <w:lang w:val="sv-SE"/>
        </w:rPr>
        <w:t>z</w:t>
      </w:r>
      <w:r w:rsidRPr="00945955">
        <w:rPr>
          <w:lang w:val="sv-SE"/>
        </w:rPr>
        <w:t>ed immediately as an expense and is not reversed.</w:t>
      </w:r>
    </w:p>
    <w:p w14:paraId="0DA2EBB8" w14:textId="77777777" w:rsidR="000214D1" w:rsidRPr="00945955" w:rsidRDefault="000214D1" w:rsidP="00945955">
      <w:pPr>
        <w:pStyle w:val="Brdtext"/>
        <w:spacing w:line="264" w:lineRule="auto"/>
        <w:ind w:left="118" w:right="264"/>
        <w:rPr>
          <w:lang w:val="sv-SE"/>
        </w:rPr>
      </w:pPr>
    </w:p>
    <w:p w14:paraId="49DAF69B" w14:textId="50454CDF" w:rsidR="002C72DE" w:rsidRPr="00945955" w:rsidRDefault="002C72DE" w:rsidP="00945955">
      <w:pPr>
        <w:pStyle w:val="Brdtext"/>
        <w:spacing w:line="264" w:lineRule="auto"/>
        <w:ind w:left="118" w:right="264"/>
        <w:rPr>
          <w:lang w:val="sv-SE"/>
        </w:rPr>
      </w:pPr>
      <w:r w:rsidRPr="00945955">
        <w:rPr>
          <w:lang w:val="sv-SE"/>
        </w:rPr>
        <w:t>When a cash-generating unit is sold, any goodwill allocated to the cash-generating unit is included in the calculation of the gain or loss on sale.</w:t>
      </w:r>
    </w:p>
    <w:p w14:paraId="703367CE" w14:textId="77777777" w:rsidR="002C72DE" w:rsidRPr="00945955" w:rsidRDefault="002C72DE" w:rsidP="00945955">
      <w:pPr>
        <w:pStyle w:val="Brdtext"/>
        <w:spacing w:line="264" w:lineRule="auto"/>
        <w:ind w:left="118" w:right="264"/>
        <w:rPr>
          <w:lang w:val="sv-SE"/>
        </w:rPr>
      </w:pPr>
    </w:p>
    <w:p w14:paraId="5FE425CC" w14:textId="154DCAAC" w:rsidR="002C72DE" w:rsidRDefault="002C72DE" w:rsidP="00302CC3">
      <w:pPr>
        <w:pStyle w:val="Rubrik8"/>
        <w:rPr>
          <w:spacing w:val="-2"/>
        </w:rPr>
      </w:pPr>
      <w:r w:rsidRPr="00130421">
        <w:rPr>
          <w:spacing w:val="-2"/>
        </w:rPr>
        <w:t>Revenue from contracts with customers</w:t>
      </w:r>
    </w:p>
    <w:p w14:paraId="0E76859A" w14:textId="77777777" w:rsidR="00302CC3" w:rsidRPr="00302CC3" w:rsidRDefault="00302CC3" w:rsidP="00302CC3">
      <w:pPr>
        <w:pStyle w:val="Rubrik8"/>
        <w:rPr>
          <w:lang w:val="sv-SE"/>
        </w:rPr>
      </w:pPr>
    </w:p>
    <w:p w14:paraId="2D72C8D8" w14:textId="212B945E" w:rsidR="002C72DE" w:rsidRPr="00B06AED" w:rsidRDefault="002C72DE" w:rsidP="00B06AED">
      <w:pPr>
        <w:pStyle w:val="Brdtext"/>
        <w:spacing w:line="264" w:lineRule="auto"/>
        <w:ind w:left="118" w:right="264"/>
        <w:rPr>
          <w:lang w:val="sv-SE"/>
        </w:rPr>
      </w:pPr>
      <w:r w:rsidRPr="005F3730">
        <w:rPr>
          <w:lang w:val="sv-SE"/>
        </w:rPr>
        <w:t>The Group's business is based on the physical presence and activity of customers in its facilities. Revenues and payments are primarily generated at these times and the Group's invoicing is therefore very limited. The Group has applied the five-step approach described in IFRS 15 for the identification of customer contracts and their components and recogni</w:t>
      </w:r>
      <w:r w:rsidR="007C4AF0">
        <w:rPr>
          <w:lang w:val="sv-SE"/>
        </w:rPr>
        <w:t>z</w:t>
      </w:r>
      <w:r w:rsidRPr="005F3730">
        <w:rPr>
          <w:lang w:val="sv-SE"/>
        </w:rPr>
        <w:t>es that the number of current customer contracts is virtually non-existent.</w:t>
      </w:r>
      <w:r w:rsidR="00096FD4" w:rsidRPr="00B06AED">
        <w:rPr>
          <w:lang w:val="sv-SE"/>
        </w:rPr>
        <w:t xml:space="preserve"> </w:t>
      </w:r>
      <w:r w:rsidRPr="005F3730">
        <w:rPr>
          <w:lang w:val="sv-SE"/>
        </w:rPr>
        <w:t>The inflow of economic benefits that the entity receives or will receive on its own account is recogni</w:t>
      </w:r>
      <w:r w:rsidR="007C5112" w:rsidRPr="005F3730">
        <w:rPr>
          <w:lang w:val="sv-SE"/>
        </w:rPr>
        <w:t>z</w:t>
      </w:r>
      <w:r w:rsidRPr="005F3730">
        <w:rPr>
          <w:lang w:val="sv-SE"/>
        </w:rPr>
        <w:t xml:space="preserve">ed as revenue. Revenue is measured at the fair value of </w:t>
      </w:r>
      <w:r w:rsidR="00801328" w:rsidRPr="005F3730">
        <w:rPr>
          <w:lang w:val="sv-SE"/>
        </w:rPr>
        <w:t>the value that has been or will be received</w:t>
      </w:r>
      <w:r w:rsidRPr="005F3730">
        <w:rPr>
          <w:lang w:val="sv-SE"/>
        </w:rPr>
        <w:t xml:space="preserve"> less discounts</w:t>
      </w:r>
      <w:r w:rsidR="009725BB" w:rsidRPr="005F3730">
        <w:rPr>
          <w:lang w:val="sv-SE"/>
        </w:rPr>
        <w:t>.</w:t>
      </w:r>
    </w:p>
    <w:p w14:paraId="1C946122" w14:textId="77777777" w:rsidR="009725BB" w:rsidRPr="009245EF" w:rsidRDefault="009725BB" w:rsidP="009245EF">
      <w:pPr>
        <w:pStyle w:val="Rubrik8"/>
        <w:spacing w:before="1"/>
        <w:jc w:val="both"/>
        <w:rPr>
          <w:b w:val="0"/>
          <w:bCs w:val="0"/>
          <w:lang w:val="sv-SE"/>
        </w:rPr>
      </w:pPr>
    </w:p>
    <w:p w14:paraId="278FE481" w14:textId="0B97A94D" w:rsidR="002C72DE" w:rsidRDefault="002C72DE" w:rsidP="009245EF">
      <w:pPr>
        <w:pStyle w:val="Rubrik8"/>
        <w:spacing w:before="1"/>
        <w:jc w:val="both"/>
        <w:rPr>
          <w:b w:val="0"/>
          <w:bCs w:val="0"/>
          <w:i/>
          <w:iCs/>
          <w:lang w:val="sv-SE"/>
        </w:rPr>
      </w:pPr>
      <w:r w:rsidRPr="009245EF">
        <w:rPr>
          <w:b w:val="0"/>
          <w:bCs w:val="0"/>
          <w:i/>
          <w:iCs/>
          <w:lang w:val="sv-SE"/>
        </w:rPr>
        <w:t>Admissions, parties, activities and merchandise</w:t>
      </w:r>
    </w:p>
    <w:p w14:paraId="563E0121" w14:textId="51843A49" w:rsidR="002C72DE" w:rsidRPr="00B06AED" w:rsidRDefault="002C72DE" w:rsidP="00B06AED">
      <w:pPr>
        <w:pStyle w:val="Brdtext"/>
        <w:spacing w:line="264" w:lineRule="auto"/>
        <w:ind w:left="118" w:right="264"/>
        <w:rPr>
          <w:lang w:val="sv-SE"/>
        </w:rPr>
      </w:pPr>
      <w:r w:rsidRPr="009245EF">
        <w:rPr>
          <w:lang w:val="sv-SE"/>
        </w:rPr>
        <w:t>Revenue is recogni</w:t>
      </w:r>
      <w:r w:rsidR="007C4AF0">
        <w:rPr>
          <w:lang w:val="sv-SE"/>
        </w:rPr>
        <w:t>z</w:t>
      </w:r>
      <w:r w:rsidRPr="009245EF">
        <w:rPr>
          <w:lang w:val="sv-SE"/>
        </w:rPr>
        <w:t>ed at the time of the visit. Payment or invoicing is mainly made in advance or at the time of the visit. A small proportion, about 1% of total revenue, is invoiced in arrears, for example to schools and sports clubs.</w:t>
      </w:r>
    </w:p>
    <w:p w14:paraId="3542530F" w14:textId="77777777" w:rsidR="009245EF" w:rsidRPr="009245EF" w:rsidRDefault="009245EF" w:rsidP="009245EF">
      <w:pPr>
        <w:pStyle w:val="Rubrik8"/>
        <w:spacing w:before="1"/>
        <w:jc w:val="both"/>
        <w:rPr>
          <w:b w:val="0"/>
          <w:bCs w:val="0"/>
          <w:lang w:val="sv-SE"/>
        </w:rPr>
      </w:pPr>
    </w:p>
    <w:p w14:paraId="23BE27C8" w14:textId="77777777" w:rsidR="002C72DE" w:rsidRDefault="002C72DE" w:rsidP="009245EF">
      <w:pPr>
        <w:pStyle w:val="Rubrik8"/>
        <w:spacing w:before="1"/>
        <w:jc w:val="both"/>
        <w:rPr>
          <w:b w:val="0"/>
          <w:bCs w:val="0"/>
          <w:i/>
          <w:iCs/>
          <w:lang w:val="sv-SE"/>
        </w:rPr>
      </w:pPr>
      <w:r w:rsidRPr="009245EF">
        <w:rPr>
          <w:b w:val="0"/>
          <w:bCs w:val="0"/>
          <w:i/>
          <w:iCs/>
          <w:lang w:val="sv-SE"/>
        </w:rPr>
        <w:t>Restaurant and café</w:t>
      </w:r>
    </w:p>
    <w:p w14:paraId="0CD3796F" w14:textId="6363C44E" w:rsidR="00D01633" w:rsidRPr="00B06AED" w:rsidRDefault="002C72DE" w:rsidP="00B06AED">
      <w:pPr>
        <w:pStyle w:val="Brdtext"/>
        <w:spacing w:line="264" w:lineRule="auto"/>
        <w:ind w:left="118" w:right="264"/>
        <w:rPr>
          <w:lang w:val="sv-SE"/>
        </w:rPr>
      </w:pPr>
      <w:r w:rsidRPr="009245EF">
        <w:rPr>
          <w:lang w:val="sv-SE"/>
        </w:rPr>
        <w:t>Revenue is recogni</w:t>
      </w:r>
      <w:r w:rsidR="007C4AF0">
        <w:rPr>
          <w:lang w:val="sv-SE"/>
        </w:rPr>
        <w:t>z</w:t>
      </w:r>
      <w:r w:rsidRPr="009245EF">
        <w:rPr>
          <w:lang w:val="sv-SE"/>
        </w:rPr>
        <w:t>ed and payment is normally received at the same time as the service or goods are delivered.</w:t>
      </w:r>
    </w:p>
    <w:p w14:paraId="47C5182C" w14:textId="77777777" w:rsidR="00D01633" w:rsidRPr="009245EF" w:rsidRDefault="00D01633" w:rsidP="009245EF">
      <w:pPr>
        <w:pStyle w:val="Rubrik8"/>
        <w:spacing w:before="1"/>
        <w:jc w:val="both"/>
        <w:rPr>
          <w:b w:val="0"/>
          <w:bCs w:val="0"/>
          <w:lang w:val="sv-SE"/>
        </w:rPr>
      </w:pPr>
    </w:p>
    <w:p w14:paraId="5C9954DB" w14:textId="27E643D5" w:rsidR="002C72DE" w:rsidRDefault="000D1340" w:rsidP="009245EF">
      <w:pPr>
        <w:pStyle w:val="Rubrik8"/>
        <w:spacing w:before="1"/>
        <w:jc w:val="both"/>
        <w:rPr>
          <w:b w:val="0"/>
          <w:bCs w:val="0"/>
          <w:i/>
          <w:iCs/>
          <w:lang w:val="sv-SE"/>
        </w:rPr>
      </w:pPr>
      <w:r w:rsidRPr="009245EF">
        <w:rPr>
          <w:b w:val="0"/>
          <w:bCs w:val="0"/>
          <w:i/>
          <w:iCs/>
          <w:lang w:val="sv-SE"/>
        </w:rPr>
        <w:t>M</w:t>
      </w:r>
      <w:r w:rsidR="002C72DE" w:rsidRPr="009245EF">
        <w:rPr>
          <w:b w:val="0"/>
          <w:bCs w:val="0"/>
          <w:i/>
          <w:iCs/>
          <w:lang w:val="sv-SE"/>
        </w:rPr>
        <w:t>ulti-visit pass and gift vouchers</w:t>
      </w:r>
    </w:p>
    <w:p w14:paraId="015944E8" w14:textId="2A0B17DB" w:rsidR="002C72DE" w:rsidRPr="00B06AED" w:rsidRDefault="002C72DE" w:rsidP="00B06AED">
      <w:pPr>
        <w:pStyle w:val="Brdtext"/>
        <w:spacing w:line="264" w:lineRule="auto"/>
        <w:ind w:left="118" w:right="264"/>
        <w:rPr>
          <w:lang w:val="sv-SE"/>
        </w:rPr>
      </w:pPr>
      <w:r w:rsidRPr="009245EF">
        <w:rPr>
          <w:lang w:val="sv-SE"/>
        </w:rPr>
        <w:t>Gift vouchers are recogni</w:t>
      </w:r>
      <w:r w:rsidR="007C4AF0">
        <w:rPr>
          <w:lang w:val="sv-SE"/>
        </w:rPr>
        <w:t>z</w:t>
      </w:r>
      <w:r w:rsidRPr="009245EF">
        <w:rPr>
          <w:lang w:val="sv-SE"/>
        </w:rPr>
        <w:t>ed as a liability at the time of sale and the change between two periods is recogni</w:t>
      </w:r>
      <w:r w:rsidR="007C4AF0">
        <w:rPr>
          <w:lang w:val="sv-SE"/>
        </w:rPr>
        <w:t>z</w:t>
      </w:r>
      <w:r w:rsidRPr="009245EF">
        <w:rPr>
          <w:lang w:val="sv-SE"/>
        </w:rPr>
        <w:t>ed as revenue. Multi-visit pass are recogni</w:t>
      </w:r>
      <w:r w:rsidR="007C4AF0">
        <w:rPr>
          <w:lang w:val="sv-SE"/>
        </w:rPr>
        <w:t>z</w:t>
      </w:r>
      <w:r w:rsidRPr="009245EF">
        <w:rPr>
          <w:lang w:val="sv-SE"/>
        </w:rPr>
        <w:t>ed as revenue at the time of sale. The Group's activities can be utili</w:t>
      </w:r>
      <w:r w:rsidR="00862A3A">
        <w:rPr>
          <w:lang w:val="sv-SE"/>
        </w:rPr>
        <w:t>z</w:t>
      </w:r>
      <w:r w:rsidRPr="009245EF">
        <w:rPr>
          <w:lang w:val="sv-SE"/>
        </w:rPr>
        <w:t>ed within the framework of tax-free wellness. These revenues are recogn</w:t>
      </w:r>
      <w:r w:rsidR="007C4AF0">
        <w:rPr>
          <w:lang w:val="sv-SE"/>
        </w:rPr>
        <w:t>iz</w:t>
      </w:r>
      <w:r w:rsidRPr="009245EF">
        <w:rPr>
          <w:lang w:val="sv-SE"/>
        </w:rPr>
        <w:t>ed in the same way as multi-visit pass and are invoiced from the respective wellness portal.</w:t>
      </w:r>
    </w:p>
    <w:p w14:paraId="58B5289C" w14:textId="77777777" w:rsidR="002C72DE" w:rsidRPr="009245EF" w:rsidRDefault="002C72DE" w:rsidP="009245EF">
      <w:pPr>
        <w:pStyle w:val="Rubrik8"/>
        <w:spacing w:before="1"/>
        <w:jc w:val="both"/>
        <w:rPr>
          <w:b w:val="0"/>
          <w:bCs w:val="0"/>
          <w:lang w:val="sv-SE"/>
        </w:rPr>
      </w:pPr>
    </w:p>
    <w:p w14:paraId="38E3C895" w14:textId="77777777" w:rsidR="002C72DE" w:rsidRPr="00130421" w:rsidRDefault="002C72DE" w:rsidP="00130421">
      <w:pPr>
        <w:pStyle w:val="Rubrik8"/>
        <w:rPr>
          <w:spacing w:val="-2"/>
        </w:rPr>
      </w:pPr>
      <w:r w:rsidRPr="00130421">
        <w:rPr>
          <w:spacing w:val="-2"/>
        </w:rPr>
        <w:t>Government grants</w:t>
      </w:r>
    </w:p>
    <w:p w14:paraId="30FBD2C0" w14:textId="0D881414" w:rsidR="009E36F9" w:rsidRDefault="002C72DE" w:rsidP="00B06AED">
      <w:pPr>
        <w:pStyle w:val="Brdtext"/>
        <w:spacing w:line="264" w:lineRule="auto"/>
        <w:ind w:left="118" w:right="264"/>
        <w:rPr>
          <w:lang w:val="sv-SE"/>
        </w:rPr>
      </w:pPr>
      <w:r w:rsidRPr="007C7851">
        <w:rPr>
          <w:lang w:val="sv-SE"/>
        </w:rPr>
        <w:t xml:space="preserve">Government grants are not </w:t>
      </w:r>
      <w:r w:rsidR="00457D97">
        <w:rPr>
          <w:lang w:val="sv-SE"/>
        </w:rPr>
        <w:t>recognize</w:t>
      </w:r>
      <w:r w:rsidRPr="007C7851">
        <w:rPr>
          <w:lang w:val="sv-SE"/>
        </w:rPr>
        <w:t>d until there is reasonable assurance that the Group will comply with the conditions attaching to the grant and that the grants will be received.</w:t>
      </w:r>
    </w:p>
    <w:p w14:paraId="0945E039" w14:textId="77777777" w:rsidR="00BB1F89" w:rsidRDefault="00BB1F89" w:rsidP="003453C1">
      <w:pPr>
        <w:pStyle w:val="Brdtext"/>
        <w:spacing w:before="1" w:line="264" w:lineRule="auto"/>
        <w:ind w:left="118" w:right="262"/>
        <w:rPr>
          <w:lang w:val="sv-SE"/>
        </w:rPr>
      </w:pPr>
    </w:p>
    <w:p w14:paraId="4BCA09DB" w14:textId="1193BC77" w:rsidR="002C72DE" w:rsidRPr="009E36F9" w:rsidRDefault="002C72DE" w:rsidP="00B06AED">
      <w:pPr>
        <w:pStyle w:val="Brdtext"/>
        <w:spacing w:line="264" w:lineRule="auto"/>
        <w:ind w:left="118" w:right="264"/>
        <w:rPr>
          <w:lang w:val="sv-SE"/>
        </w:rPr>
      </w:pPr>
      <w:r w:rsidRPr="003453C1">
        <w:rPr>
          <w:lang w:val="sv-SE"/>
        </w:rPr>
        <w:t xml:space="preserve">Government grants are </w:t>
      </w:r>
      <w:r w:rsidR="00457D97">
        <w:rPr>
          <w:lang w:val="sv-SE"/>
        </w:rPr>
        <w:t>recognize</w:t>
      </w:r>
      <w:r w:rsidRPr="003453C1">
        <w:rPr>
          <w:lang w:val="sv-SE"/>
        </w:rPr>
        <w:t xml:space="preserve">d in profit or loss on a systematic basis over the same periods as the costs they are intended to compensate. Grants related to assets, being government grants whose primary condition is that the entity qualifies for them by purchasing, constructing or otherwise acquiring non-current assets, are </w:t>
      </w:r>
      <w:r w:rsidR="00457D97">
        <w:rPr>
          <w:lang w:val="sv-SE"/>
        </w:rPr>
        <w:t>recognize</w:t>
      </w:r>
      <w:r w:rsidRPr="003453C1">
        <w:rPr>
          <w:lang w:val="sv-SE"/>
        </w:rPr>
        <w:t>d as deferred income in the consolidated statement of financial position and charged to profit or loss on a systematic basis over the useful lives of the related assets.</w:t>
      </w:r>
    </w:p>
    <w:p w14:paraId="20E8E490" w14:textId="77777777" w:rsidR="002C72DE" w:rsidRPr="00BB1F89" w:rsidRDefault="002C72DE" w:rsidP="003453C1">
      <w:pPr>
        <w:pStyle w:val="Brdtext"/>
        <w:spacing w:before="1" w:line="264" w:lineRule="auto"/>
        <w:ind w:left="118" w:right="262"/>
        <w:rPr>
          <w:lang w:val="sv-SE"/>
        </w:rPr>
      </w:pPr>
    </w:p>
    <w:p w14:paraId="21951F2A" w14:textId="231F9410" w:rsidR="002C72DE" w:rsidRPr="003453C1" w:rsidRDefault="002C72DE" w:rsidP="003453C1">
      <w:pPr>
        <w:pStyle w:val="Brdtext"/>
        <w:spacing w:before="1" w:line="264" w:lineRule="auto"/>
        <w:ind w:left="118" w:right="262"/>
        <w:rPr>
          <w:lang w:val="sv-SE"/>
        </w:rPr>
      </w:pPr>
      <w:r w:rsidRPr="003453C1">
        <w:rPr>
          <w:lang w:val="sv-SE"/>
        </w:rPr>
        <w:t xml:space="preserve">A government grant provided as compensation for expenses or losses already incurred by the entity or for the purpose of providing immediate assistance to the entity without being linked to future costs is </w:t>
      </w:r>
      <w:r w:rsidR="00457D97">
        <w:rPr>
          <w:lang w:val="sv-SE"/>
        </w:rPr>
        <w:t>recognize</w:t>
      </w:r>
      <w:r w:rsidRPr="003453C1">
        <w:rPr>
          <w:lang w:val="sv-SE"/>
        </w:rPr>
        <w:t>d in profit or loss in the period in which the entity becomes receivable from the government.</w:t>
      </w:r>
    </w:p>
    <w:p w14:paraId="70D9403B" w14:textId="77777777" w:rsidR="002C72DE" w:rsidRPr="00BB1F89" w:rsidRDefault="002C72DE" w:rsidP="003453C1">
      <w:pPr>
        <w:pStyle w:val="Brdtext"/>
        <w:spacing w:before="1" w:line="264" w:lineRule="auto"/>
        <w:ind w:left="118" w:right="262"/>
        <w:rPr>
          <w:lang w:val="sv-SE"/>
        </w:rPr>
      </w:pPr>
    </w:p>
    <w:p w14:paraId="59821D8E" w14:textId="7EEB9F72" w:rsidR="002C72DE" w:rsidRPr="003453C1" w:rsidRDefault="002C72DE" w:rsidP="003453C1">
      <w:pPr>
        <w:pStyle w:val="Brdtext"/>
        <w:spacing w:before="1" w:line="264" w:lineRule="auto"/>
        <w:ind w:left="118" w:right="262"/>
        <w:rPr>
          <w:lang w:val="sv-SE"/>
        </w:rPr>
      </w:pPr>
      <w:r w:rsidRPr="003453C1">
        <w:rPr>
          <w:lang w:val="sv-SE"/>
        </w:rPr>
        <w:t xml:space="preserve">Government grants for staff are </w:t>
      </w:r>
      <w:r w:rsidR="00457D97">
        <w:rPr>
          <w:lang w:val="sv-SE"/>
        </w:rPr>
        <w:t>recognize</w:t>
      </w:r>
      <w:r w:rsidRPr="003453C1">
        <w:rPr>
          <w:lang w:val="sv-SE"/>
        </w:rPr>
        <w:t>d as income over the period necessary to match them with the related expenses and reduce the related expenses in the financial statements.</w:t>
      </w:r>
    </w:p>
    <w:p w14:paraId="6FB4AFD1" w14:textId="77777777" w:rsidR="002C72DE" w:rsidRPr="003453C1" w:rsidRDefault="002C72DE" w:rsidP="003453C1">
      <w:pPr>
        <w:pStyle w:val="Brdtext"/>
        <w:spacing w:before="1" w:line="264" w:lineRule="auto"/>
        <w:ind w:left="118" w:right="262"/>
        <w:rPr>
          <w:lang w:val="sv-SE"/>
        </w:rPr>
      </w:pPr>
    </w:p>
    <w:p w14:paraId="01C9DFF6" w14:textId="77777777" w:rsidR="002C72DE" w:rsidRPr="00130421" w:rsidRDefault="002C72DE" w:rsidP="00130421">
      <w:pPr>
        <w:pStyle w:val="Rubrik8"/>
        <w:rPr>
          <w:spacing w:val="-2"/>
        </w:rPr>
      </w:pPr>
      <w:r w:rsidRPr="00130421">
        <w:rPr>
          <w:spacing w:val="-2"/>
        </w:rPr>
        <w:t>Foreign currency</w:t>
      </w:r>
    </w:p>
    <w:p w14:paraId="38A19DBC" w14:textId="77777777" w:rsidR="002C72DE" w:rsidRPr="005F43CA" w:rsidRDefault="002C72DE" w:rsidP="005F43CA">
      <w:pPr>
        <w:pStyle w:val="Brdtext"/>
        <w:spacing w:before="1" w:line="264" w:lineRule="auto"/>
        <w:ind w:left="118" w:right="262"/>
        <w:rPr>
          <w:lang w:val="sv-SE"/>
        </w:rPr>
      </w:pPr>
      <w:r w:rsidRPr="005F43CA">
        <w:rPr>
          <w:lang w:val="sv-SE"/>
        </w:rPr>
        <w:t>Items included in the financial statements of the various entities in the Group are presented in the currency of the primary economic environment in which the entity primarily operates (functional currency). In the consolidated financial statements, all amounts are translated into Swedish kronor (SEK), which is the functional and presentation currency of the Parent Company and the Group.</w:t>
      </w:r>
    </w:p>
    <w:p w14:paraId="2B2D0613" w14:textId="77777777" w:rsidR="002C72DE" w:rsidRPr="005F43CA" w:rsidRDefault="002C72DE" w:rsidP="005F43CA">
      <w:pPr>
        <w:pStyle w:val="Brdtext"/>
        <w:spacing w:before="1" w:line="264" w:lineRule="auto"/>
        <w:ind w:left="118" w:right="262"/>
        <w:rPr>
          <w:lang w:val="sv-SE"/>
        </w:rPr>
      </w:pPr>
    </w:p>
    <w:p w14:paraId="794ECA09" w14:textId="71035D8C" w:rsidR="002C72DE" w:rsidRPr="00936613" w:rsidRDefault="002C72DE" w:rsidP="005F43CA">
      <w:pPr>
        <w:pStyle w:val="Brdtext"/>
        <w:spacing w:before="1" w:line="264" w:lineRule="auto"/>
        <w:ind w:left="118" w:right="262"/>
      </w:pPr>
      <w:r w:rsidRPr="00936613">
        <w:t xml:space="preserve">Transactions in foreign currencies are </w:t>
      </w:r>
      <w:r w:rsidR="00BF4582">
        <w:t>recalculated</w:t>
      </w:r>
      <w:r w:rsidRPr="00936613">
        <w:t xml:space="preserve"> in each </w:t>
      </w:r>
      <w:r w:rsidRPr="005F43CA">
        <w:rPr>
          <w:lang w:val="sv-SE"/>
        </w:rPr>
        <w:t>entity</w:t>
      </w:r>
      <w:r w:rsidRPr="00936613">
        <w:t xml:space="preserve"> into the entity's functional currency using the exchange rates prevailing at the dates of the transactions. At each balance sheet date, monetary items denominated in foreign currencies are translated at the closing rate. Non-monetary items that are measured at fair value in a foreign currency are translated at the exchange rate at the date when the fair value was determined. Non-monetary items that are measured at historical cost in a foreign currency are not translated. Exchange differences are recogni</w:t>
      </w:r>
      <w:r w:rsidR="00990DE6">
        <w:t>z</w:t>
      </w:r>
      <w:r w:rsidRPr="00936613">
        <w:t>ed in the income statement in the period in which they arise.</w:t>
      </w:r>
    </w:p>
    <w:p w14:paraId="5EA9B1E1" w14:textId="77777777" w:rsidR="002C72DE" w:rsidRPr="00936613" w:rsidRDefault="002C72DE" w:rsidP="005F43CA">
      <w:pPr>
        <w:pStyle w:val="Brdtext"/>
        <w:spacing w:before="1" w:line="264" w:lineRule="auto"/>
        <w:ind w:left="118" w:right="262"/>
      </w:pPr>
    </w:p>
    <w:p w14:paraId="2F19F342" w14:textId="5328CF20" w:rsidR="002C72DE" w:rsidRPr="00936613" w:rsidRDefault="002C72DE" w:rsidP="00130421">
      <w:pPr>
        <w:pStyle w:val="Brdtext"/>
        <w:spacing w:before="107" w:line="264" w:lineRule="auto"/>
        <w:ind w:left="118" w:right="463"/>
      </w:pPr>
      <w:r w:rsidRPr="00936613">
        <w:t xml:space="preserve">When preparing consolidated financial statements, the assets and liabilities of foreign subsidiaries are translated into Swedish kronor at the closing rate. Income and expense items are translated at the average exchange rate for the period, unless the exchange rate has fluctuated significantly during the period, in which case the exchange rate on the transaction date is used instead. Any translation differences that arise are </w:t>
      </w:r>
      <w:r w:rsidR="00534E67">
        <w:t>recognize</w:t>
      </w:r>
      <w:r w:rsidRPr="00936613">
        <w:t xml:space="preserve">d in other </w:t>
      </w:r>
      <w:r w:rsidRPr="00936613">
        <w:lastRenderedPageBreak/>
        <w:t xml:space="preserve">comprehensive income and transferred to the Group's translation reserve. On disposal of a foreign subsidiary, such translation differences are </w:t>
      </w:r>
      <w:r w:rsidR="00534E67">
        <w:t>recognize</w:t>
      </w:r>
      <w:r w:rsidRPr="00936613">
        <w:t xml:space="preserve">d in the income statement as part of the gain or loss on disposal. Revaluation of intragroup receivables and liabilities is </w:t>
      </w:r>
      <w:r w:rsidR="00534E67">
        <w:t>recognize</w:t>
      </w:r>
      <w:r w:rsidRPr="00936613">
        <w:t>d in comprehensive income.</w:t>
      </w:r>
    </w:p>
    <w:p w14:paraId="119601BF" w14:textId="77777777" w:rsidR="002C72DE" w:rsidRPr="00936613" w:rsidRDefault="002C72DE" w:rsidP="00130421">
      <w:pPr>
        <w:pStyle w:val="Brdtext"/>
        <w:spacing w:before="107" w:line="264" w:lineRule="auto"/>
        <w:ind w:left="118" w:right="463"/>
      </w:pPr>
    </w:p>
    <w:p w14:paraId="42CDBCE6" w14:textId="28483A82" w:rsidR="002C72DE" w:rsidRPr="00CF5866" w:rsidRDefault="002C72DE" w:rsidP="00CF5866">
      <w:pPr>
        <w:pStyle w:val="Brdtext"/>
        <w:spacing w:line="264" w:lineRule="auto"/>
        <w:ind w:left="118" w:right="262"/>
        <w:rPr>
          <w:lang w:val="sv-SE"/>
        </w:rPr>
      </w:pPr>
      <w:r w:rsidRPr="00936613">
        <w:t xml:space="preserve">Goodwill and fair value adjustments arising on the acquisition of a foreign operation are treated as assets and liabilities of that operation and translated at the closing rate. Exchange differences arising are </w:t>
      </w:r>
      <w:r w:rsidR="00457D97">
        <w:t>recognize</w:t>
      </w:r>
      <w:r w:rsidRPr="00936613">
        <w:t xml:space="preserve">d in other </w:t>
      </w:r>
      <w:r w:rsidRPr="00CF5866">
        <w:rPr>
          <w:lang w:val="sv-SE"/>
        </w:rPr>
        <w:t>comprehensive income.</w:t>
      </w:r>
    </w:p>
    <w:p w14:paraId="1AC0B732" w14:textId="77777777" w:rsidR="00130421" w:rsidRPr="00CF5866" w:rsidRDefault="00130421" w:rsidP="00CF5866">
      <w:pPr>
        <w:pStyle w:val="Brdtext"/>
        <w:spacing w:line="264" w:lineRule="auto"/>
        <w:ind w:left="118" w:right="262"/>
        <w:rPr>
          <w:lang w:val="sv-SE"/>
        </w:rPr>
      </w:pPr>
    </w:p>
    <w:p w14:paraId="69D4AC74" w14:textId="04913EFD" w:rsidR="002C72DE" w:rsidRPr="00130421" w:rsidRDefault="002C72DE" w:rsidP="00130421">
      <w:pPr>
        <w:pStyle w:val="Rubrik8"/>
        <w:rPr>
          <w:spacing w:val="-2"/>
        </w:rPr>
      </w:pPr>
      <w:r w:rsidRPr="00130421">
        <w:rPr>
          <w:spacing w:val="-2"/>
        </w:rPr>
        <w:t xml:space="preserve">Employee </w:t>
      </w:r>
      <w:r w:rsidR="00E02622">
        <w:rPr>
          <w:spacing w:val="-2"/>
        </w:rPr>
        <w:t xml:space="preserve">remunerations and </w:t>
      </w:r>
      <w:r w:rsidRPr="00130421">
        <w:rPr>
          <w:spacing w:val="-2"/>
        </w:rPr>
        <w:t>benefits</w:t>
      </w:r>
    </w:p>
    <w:p w14:paraId="1EE8C35F" w14:textId="7BBD2B4D" w:rsidR="002C72DE" w:rsidRPr="00CF5866" w:rsidRDefault="002C72DE" w:rsidP="00CF5866">
      <w:pPr>
        <w:pStyle w:val="Brdtext"/>
        <w:spacing w:line="264" w:lineRule="auto"/>
        <w:ind w:left="118" w:right="262"/>
        <w:rPr>
          <w:lang w:val="sv-SE"/>
        </w:rPr>
      </w:pPr>
      <w:r w:rsidRPr="00936613">
        <w:t xml:space="preserve">Employee benefits in the form of salaries, bonuses, paid holidays, paid sick leave, etc. and pensions are </w:t>
      </w:r>
      <w:r w:rsidR="00457D97" w:rsidRPr="00CF5866">
        <w:rPr>
          <w:lang w:val="sv-SE"/>
        </w:rPr>
        <w:t>recognize</w:t>
      </w:r>
      <w:r w:rsidRPr="00CF5866">
        <w:rPr>
          <w:lang w:val="sv-SE"/>
        </w:rPr>
        <w:t xml:space="preserve">d as they are earned. </w:t>
      </w:r>
    </w:p>
    <w:p w14:paraId="629BD632" w14:textId="77777777" w:rsidR="002C72DE" w:rsidRPr="00CF5866" w:rsidRDefault="002C72DE" w:rsidP="00CF5866">
      <w:pPr>
        <w:pStyle w:val="Brdtext"/>
        <w:spacing w:line="264" w:lineRule="auto"/>
        <w:ind w:left="118" w:right="262"/>
        <w:rPr>
          <w:lang w:val="sv-SE"/>
        </w:rPr>
      </w:pPr>
    </w:p>
    <w:p w14:paraId="0F752F55" w14:textId="77777777" w:rsidR="002C72DE" w:rsidRPr="000D3CDF" w:rsidRDefault="002C72DE" w:rsidP="00130421">
      <w:pPr>
        <w:pStyle w:val="Brdtext"/>
        <w:spacing w:before="107" w:line="264" w:lineRule="auto"/>
        <w:ind w:left="118" w:right="463"/>
        <w:rPr>
          <w:i/>
          <w:iCs/>
        </w:rPr>
      </w:pPr>
      <w:r w:rsidRPr="000D3CDF">
        <w:rPr>
          <w:i/>
          <w:iCs/>
        </w:rPr>
        <w:t>Defined contribution plans</w:t>
      </w:r>
    </w:p>
    <w:p w14:paraId="1DA58A53" w14:textId="77777777" w:rsidR="002C72DE" w:rsidRPr="00CF5866" w:rsidRDefault="002C72DE" w:rsidP="00CF5866">
      <w:pPr>
        <w:pStyle w:val="Brdtext"/>
        <w:spacing w:line="264" w:lineRule="auto"/>
        <w:ind w:left="118" w:right="262"/>
        <w:rPr>
          <w:lang w:val="sv-SE"/>
        </w:rPr>
      </w:pPr>
      <w:r w:rsidRPr="00936613">
        <w:t xml:space="preserve">For defined contribution plans, the Group pays fixed contributions to a separate independent legal entity and has no obligation to pay further contributions. The Group's profit or loss is charged with the cost as the benefits are earned, which normally coincides with the date on which the premiums are paid. The Group has no defined </w:t>
      </w:r>
      <w:r w:rsidRPr="00CF5866">
        <w:rPr>
          <w:lang w:val="sv-SE"/>
        </w:rPr>
        <w:t>benefit pension obligations.</w:t>
      </w:r>
    </w:p>
    <w:p w14:paraId="283C57F4" w14:textId="77777777" w:rsidR="00130421" w:rsidRPr="00CF5866" w:rsidRDefault="00130421" w:rsidP="00CF5866">
      <w:pPr>
        <w:pStyle w:val="Brdtext"/>
        <w:spacing w:line="264" w:lineRule="auto"/>
        <w:ind w:left="118" w:right="262"/>
        <w:rPr>
          <w:lang w:val="sv-SE"/>
        </w:rPr>
      </w:pPr>
    </w:p>
    <w:p w14:paraId="72B85FB3" w14:textId="77777777" w:rsidR="002C72DE" w:rsidRPr="00130421" w:rsidRDefault="002C72DE" w:rsidP="00130421">
      <w:pPr>
        <w:pStyle w:val="Rubrik8"/>
        <w:rPr>
          <w:spacing w:val="-2"/>
        </w:rPr>
      </w:pPr>
      <w:r w:rsidRPr="00130421">
        <w:rPr>
          <w:spacing w:val="-2"/>
        </w:rPr>
        <w:t>Taxes</w:t>
      </w:r>
    </w:p>
    <w:p w14:paraId="73C20762" w14:textId="457FD6B4" w:rsidR="002C72DE" w:rsidRPr="00457D97" w:rsidRDefault="002C72DE" w:rsidP="00CF5866">
      <w:pPr>
        <w:pStyle w:val="Brdtext"/>
        <w:spacing w:line="264" w:lineRule="auto"/>
        <w:ind w:left="118" w:right="262"/>
        <w:rPr>
          <w:lang w:val="sv-SE"/>
        </w:rPr>
      </w:pPr>
      <w:r w:rsidRPr="00457D97">
        <w:rPr>
          <w:lang w:val="sv-SE"/>
        </w:rPr>
        <w:t>The tax expense is the sum of current tax and deferred tax.</w:t>
      </w:r>
    </w:p>
    <w:p w14:paraId="0F10856C" w14:textId="77777777" w:rsidR="00FE3031" w:rsidRPr="00457D97" w:rsidRDefault="00FE3031" w:rsidP="00CF5866">
      <w:pPr>
        <w:pStyle w:val="Brdtext"/>
        <w:spacing w:line="264" w:lineRule="auto"/>
        <w:ind w:left="118" w:right="262"/>
        <w:rPr>
          <w:lang w:val="sv-SE"/>
        </w:rPr>
      </w:pPr>
    </w:p>
    <w:p w14:paraId="75A2260C" w14:textId="77777777" w:rsidR="002C72DE" w:rsidRPr="000D3CDF" w:rsidRDefault="002C72DE" w:rsidP="00130421">
      <w:pPr>
        <w:pStyle w:val="Brdtext"/>
        <w:spacing w:before="107" w:line="264" w:lineRule="auto"/>
        <w:ind w:left="118" w:right="463"/>
        <w:rPr>
          <w:i/>
          <w:iCs/>
        </w:rPr>
      </w:pPr>
      <w:r w:rsidRPr="000D3CDF">
        <w:rPr>
          <w:i/>
          <w:iCs/>
        </w:rPr>
        <w:t>Current tax</w:t>
      </w:r>
    </w:p>
    <w:p w14:paraId="689A867B" w14:textId="7CED7306" w:rsidR="002C72DE" w:rsidRPr="00CF5866" w:rsidRDefault="002C72DE" w:rsidP="00CF5866">
      <w:pPr>
        <w:pStyle w:val="Brdtext"/>
        <w:spacing w:line="264" w:lineRule="auto"/>
        <w:ind w:left="118" w:right="262"/>
        <w:rPr>
          <w:lang w:val="sv-SE"/>
        </w:rPr>
      </w:pPr>
      <w:r w:rsidRPr="00936613">
        <w:t xml:space="preserve">Current tax is calculated on the taxable profit for the period. Taxable profit differs from the profit </w:t>
      </w:r>
      <w:r w:rsidR="00457D97">
        <w:t>recognize</w:t>
      </w:r>
      <w:r w:rsidRPr="00936613">
        <w:t xml:space="preserve">d in the income statement as it has been adjusted for non-taxable income and non-deductible expenses and for income and expenses that are taxable or deductible in other periods. The Group's current tax liability is calculated at the </w:t>
      </w:r>
      <w:r w:rsidRPr="00CF5866">
        <w:rPr>
          <w:lang w:val="sv-SE"/>
        </w:rPr>
        <w:t>tax rates applicable at the balance sheet date.</w:t>
      </w:r>
    </w:p>
    <w:p w14:paraId="0B25FAB9" w14:textId="77777777" w:rsidR="002C72DE" w:rsidRPr="00CF5866" w:rsidRDefault="002C72DE" w:rsidP="00CF5866">
      <w:pPr>
        <w:pStyle w:val="Brdtext"/>
        <w:spacing w:line="264" w:lineRule="auto"/>
        <w:ind w:left="118" w:right="262"/>
        <w:rPr>
          <w:lang w:val="sv-SE"/>
        </w:rPr>
      </w:pPr>
    </w:p>
    <w:p w14:paraId="4B103D1C" w14:textId="77777777" w:rsidR="002C72DE" w:rsidRPr="00130421" w:rsidRDefault="002C72DE" w:rsidP="00130421">
      <w:pPr>
        <w:pStyle w:val="Brdtext"/>
        <w:spacing w:before="107" w:line="264" w:lineRule="auto"/>
        <w:ind w:left="118" w:right="463"/>
        <w:rPr>
          <w:i/>
          <w:iCs/>
        </w:rPr>
      </w:pPr>
      <w:r w:rsidRPr="00130421">
        <w:rPr>
          <w:i/>
          <w:iCs/>
        </w:rPr>
        <w:t>Deferred tax</w:t>
      </w:r>
    </w:p>
    <w:p w14:paraId="490533F6" w14:textId="20BEA6E4" w:rsidR="002C72DE" w:rsidRPr="00936613" w:rsidRDefault="002C72DE" w:rsidP="00130421">
      <w:pPr>
        <w:pStyle w:val="Brdtext"/>
        <w:spacing w:before="107" w:line="264" w:lineRule="auto"/>
        <w:ind w:left="118" w:right="463"/>
      </w:pPr>
      <w:r w:rsidRPr="00964396">
        <w:t xml:space="preserve">Deferred tax is </w:t>
      </w:r>
      <w:r w:rsidR="00457D97" w:rsidRPr="00964396">
        <w:t>recognize</w:t>
      </w:r>
      <w:r w:rsidRPr="00964396">
        <w:t>d on temporary differences between the carrying amounts of assets and liabilities in the</w:t>
      </w:r>
      <w:r w:rsidRPr="00936613">
        <w:t xml:space="preserve"> financial statements and the tax bases used in the computation of taxable profit.</w:t>
      </w:r>
    </w:p>
    <w:p w14:paraId="67A74792" w14:textId="2D7A9EC4" w:rsidR="002C72DE" w:rsidRPr="00936613" w:rsidRDefault="002C72DE" w:rsidP="00130421">
      <w:pPr>
        <w:pStyle w:val="Brdtext"/>
        <w:spacing w:before="107" w:line="264" w:lineRule="auto"/>
        <w:ind w:left="118" w:right="463"/>
      </w:pPr>
      <w:r w:rsidRPr="00936613">
        <w:t xml:space="preserve">Deferred tax liabilities are </w:t>
      </w:r>
      <w:r w:rsidR="00457D97">
        <w:t>recognize</w:t>
      </w:r>
      <w:r w:rsidRPr="00936613">
        <w:t xml:space="preserve">d for substantially all taxable temporary differences and deferred tax assets are </w:t>
      </w:r>
      <w:r w:rsidR="00457D97">
        <w:t>recognize</w:t>
      </w:r>
      <w:r w:rsidRPr="00936613">
        <w:t>d for substantially all deductible temporary differences to the extent that it is probable that future taxable profits will be available against which the deductible temporary differences can be utili</w:t>
      </w:r>
      <w:r w:rsidR="00457D97">
        <w:t>z</w:t>
      </w:r>
      <w:r w:rsidRPr="00936613">
        <w:t xml:space="preserve">ed. Deferred tax liabilities and assets are not </w:t>
      </w:r>
      <w:r w:rsidR="00457D97">
        <w:t>recognize</w:t>
      </w:r>
      <w:r w:rsidRPr="00936613">
        <w:t>d if the temporary difference relates to goodwill or arises from a transaction that constitutes the initial recognition of an asset or liability (other than a business combination) and, at the time of the transaction, affects neither accounting nor taxable profit or loss.</w:t>
      </w:r>
    </w:p>
    <w:p w14:paraId="177198C3" w14:textId="0BA8AEC3" w:rsidR="002C72DE" w:rsidRPr="00936613" w:rsidRDefault="002C72DE" w:rsidP="00130421">
      <w:pPr>
        <w:pStyle w:val="Brdtext"/>
        <w:spacing w:before="107" w:line="264" w:lineRule="auto"/>
        <w:ind w:left="118" w:right="463"/>
      </w:pPr>
      <w:r w:rsidRPr="00936613">
        <w:t xml:space="preserve">Deferred tax liabilities are </w:t>
      </w:r>
      <w:r w:rsidR="00457D97">
        <w:t>recognize</w:t>
      </w:r>
      <w:r w:rsidRPr="00936613">
        <w:t xml:space="preserve">d for taxable temporary differences associated with investments in subsidiaries, except where the Group is able to control the timing of the reversal of the temporary differences and it is probable that such reversal will not occur in the foreseeable future. The deferred tax assets attributable to deductible temporary differences relating to such investments are </w:t>
      </w:r>
      <w:r w:rsidR="00457D97">
        <w:t>recognize</w:t>
      </w:r>
      <w:r w:rsidRPr="00936613">
        <w:t>d only to the extent that it is probable that the amounts can be utili</w:t>
      </w:r>
      <w:r w:rsidR="00457D97">
        <w:t>z</w:t>
      </w:r>
      <w:r w:rsidRPr="00936613">
        <w:t>ed against future taxable profits and it is probable that such utili</w:t>
      </w:r>
      <w:r w:rsidR="00457D97">
        <w:t>z</w:t>
      </w:r>
      <w:r w:rsidRPr="00936613">
        <w:t>ation will take place in the foreseeable future.</w:t>
      </w:r>
    </w:p>
    <w:p w14:paraId="7BFE39D1" w14:textId="77777777" w:rsidR="002C72DE" w:rsidRPr="00717BC5" w:rsidRDefault="002C72DE" w:rsidP="00717BC5">
      <w:pPr>
        <w:pStyle w:val="Brdtext"/>
        <w:spacing w:line="264" w:lineRule="auto"/>
        <w:ind w:left="118" w:right="262"/>
        <w:rPr>
          <w:lang w:val="sv-SE"/>
        </w:rPr>
      </w:pPr>
    </w:p>
    <w:p w14:paraId="62FD03FB" w14:textId="428C8EAD" w:rsidR="002C72DE" w:rsidRPr="00717BC5" w:rsidRDefault="002C72DE" w:rsidP="00717BC5">
      <w:pPr>
        <w:pStyle w:val="Brdtext"/>
        <w:spacing w:line="264" w:lineRule="auto"/>
        <w:ind w:left="118" w:right="262"/>
        <w:rPr>
          <w:lang w:val="sv-SE"/>
        </w:rPr>
      </w:pPr>
      <w:r w:rsidRPr="00717BC5">
        <w:rPr>
          <w:lang w:val="sv-SE"/>
        </w:rPr>
        <w:t>The carrying amount of deferred tax assets is reviewed at each balance sheet date and reduced to the extent that it is no longer probable that sufficient taxable profit will be available to allow all or part of the deferred tax asset to be utili</w:t>
      </w:r>
      <w:r w:rsidR="00617100">
        <w:rPr>
          <w:lang w:val="sv-SE"/>
        </w:rPr>
        <w:t>z</w:t>
      </w:r>
      <w:r w:rsidRPr="00717BC5">
        <w:rPr>
          <w:lang w:val="sv-SE"/>
        </w:rPr>
        <w:t>ed.</w:t>
      </w:r>
    </w:p>
    <w:p w14:paraId="1F8E942B" w14:textId="77777777" w:rsidR="002C72DE" w:rsidRPr="00717BC5" w:rsidRDefault="002C72DE" w:rsidP="00717BC5">
      <w:pPr>
        <w:pStyle w:val="Brdtext"/>
        <w:spacing w:line="264" w:lineRule="auto"/>
        <w:ind w:left="118" w:right="262"/>
        <w:rPr>
          <w:lang w:val="sv-SE"/>
        </w:rPr>
      </w:pPr>
    </w:p>
    <w:p w14:paraId="384E6258" w14:textId="44C86DB0" w:rsidR="002C72DE" w:rsidRPr="00EB4965" w:rsidRDefault="002C72DE" w:rsidP="00EB4965">
      <w:pPr>
        <w:pStyle w:val="Brdtext"/>
        <w:spacing w:line="264" w:lineRule="auto"/>
        <w:ind w:left="118" w:right="262"/>
        <w:rPr>
          <w:lang w:val="sv-SE"/>
        </w:rPr>
      </w:pPr>
      <w:r w:rsidRPr="00EB4965">
        <w:rPr>
          <w:lang w:val="sv-SE"/>
        </w:rPr>
        <w:t>Deferred tax is calculated at the tax rates that are expected to apply to the period when the asset is recovered or the liability is settled, based on tax rates (and tax laws) that have been enacted or substantively enacted by the balance sheet date</w:t>
      </w:r>
      <w:r w:rsidR="007A32DE" w:rsidRPr="00EB4965">
        <w:rPr>
          <w:lang w:val="sv-SE"/>
        </w:rPr>
        <w:t xml:space="preserve">. </w:t>
      </w:r>
    </w:p>
    <w:p w14:paraId="321FA7DB" w14:textId="77777777" w:rsidR="002C72DE" w:rsidRPr="00EB4965" w:rsidRDefault="002C72DE" w:rsidP="00EB4965">
      <w:pPr>
        <w:pStyle w:val="Brdtext"/>
        <w:spacing w:line="264" w:lineRule="auto"/>
        <w:ind w:left="118" w:right="262"/>
        <w:rPr>
          <w:lang w:val="sv-SE"/>
        </w:rPr>
      </w:pPr>
    </w:p>
    <w:p w14:paraId="037746E4" w14:textId="77777777" w:rsidR="002C72DE" w:rsidRPr="007A32DE" w:rsidRDefault="002C72DE" w:rsidP="007A32DE">
      <w:pPr>
        <w:pStyle w:val="Brdtext"/>
        <w:spacing w:before="107" w:line="264" w:lineRule="auto"/>
        <w:ind w:left="118" w:right="463"/>
        <w:rPr>
          <w:i/>
          <w:iCs/>
        </w:rPr>
      </w:pPr>
      <w:r w:rsidRPr="007A32DE">
        <w:rPr>
          <w:i/>
          <w:iCs/>
        </w:rPr>
        <w:t>Current and deferred tax for the period</w:t>
      </w:r>
    </w:p>
    <w:p w14:paraId="11E75380" w14:textId="58EF1526" w:rsidR="002C72DE" w:rsidRPr="00CF5866" w:rsidRDefault="002C72DE" w:rsidP="00CF5866">
      <w:pPr>
        <w:pStyle w:val="Brdtext"/>
        <w:spacing w:line="264" w:lineRule="auto"/>
        <w:ind w:left="118" w:right="262"/>
        <w:rPr>
          <w:lang w:val="sv-SE"/>
        </w:rPr>
      </w:pPr>
      <w:r w:rsidRPr="00936613">
        <w:t xml:space="preserve">Current and deferred tax is </w:t>
      </w:r>
      <w:r w:rsidR="00457D97">
        <w:t>recognize</w:t>
      </w:r>
      <w:r w:rsidRPr="00936613">
        <w:t xml:space="preserve">d as an expense or income in the income statement, except when the tax relates to transactions </w:t>
      </w:r>
      <w:r w:rsidR="00457D97">
        <w:t>recognize</w:t>
      </w:r>
      <w:r w:rsidRPr="00936613">
        <w:t xml:space="preserve">d in other comprehensive income or directly in equity, in which case the tax is also </w:t>
      </w:r>
      <w:r w:rsidR="00457D97">
        <w:t>recognize</w:t>
      </w:r>
      <w:r w:rsidRPr="00936613">
        <w:t xml:space="preserve">d in other comprehensive income or directly in equity. In the case of current and deferred tax </w:t>
      </w:r>
      <w:r w:rsidRPr="00CF5866">
        <w:rPr>
          <w:lang w:val="sv-SE"/>
        </w:rPr>
        <w:t xml:space="preserve">arising on the recognition of business combinations, the tax effect is </w:t>
      </w:r>
      <w:r w:rsidR="00457D97" w:rsidRPr="00CF5866">
        <w:rPr>
          <w:lang w:val="sv-SE"/>
        </w:rPr>
        <w:t>recognize</w:t>
      </w:r>
      <w:r w:rsidRPr="00CF5866">
        <w:rPr>
          <w:lang w:val="sv-SE"/>
        </w:rPr>
        <w:t>d in the purchase price allocation.</w:t>
      </w:r>
    </w:p>
    <w:p w14:paraId="727B1197" w14:textId="77777777" w:rsidR="002C72DE" w:rsidRPr="00CF5866" w:rsidRDefault="002C72DE" w:rsidP="00CF5866">
      <w:pPr>
        <w:pStyle w:val="Brdtext"/>
        <w:spacing w:line="264" w:lineRule="auto"/>
        <w:ind w:left="118" w:right="262"/>
        <w:rPr>
          <w:lang w:val="sv-SE"/>
        </w:rPr>
      </w:pPr>
    </w:p>
    <w:p w14:paraId="765EC19E" w14:textId="77777777" w:rsidR="002C72DE" w:rsidRPr="00B72046" w:rsidRDefault="002C72DE" w:rsidP="00B72046">
      <w:pPr>
        <w:pStyle w:val="Rubrik8"/>
        <w:rPr>
          <w:spacing w:val="-2"/>
        </w:rPr>
      </w:pPr>
      <w:r w:rsidRPr="00B72046">
        <w:rPr>
          <w:spacing w:val="-2"/>
        </w:rPr>
        <w:t>Property, plant and equipment</w:t>
      </w:r>
    </w:p>
    <w:p w14:paraId="2C36BCAA" w14:textId="65502269" w:rsidR="002C72DE" w:rsidRPr="00174649" w:rsidRDefault="002C72DE" w:rsidP="00174649">
      <w:pPr>
        <w:pStyle w:val="Brdtext"/>
        <w:spacing w:before="1" w:line="264" w:lineRule="auto"/>
        <w:ind w:left="118" w:right="262"/>
        <w:rPr>
          <w:lang w:val="sv-SE"/>
        </w:rPr>
      </w:pPr>
      <w:r w:rsidRPr="00174649">
        <w:rPr>
          <w:lang w:val="sv-SE"/>
        </w:rPr>
        <w:t xml:space="preserve">Property, plant and equipment are stated at </w:t>
      </w:r>
      <w:r w:rsidR="005B2A93">
        <w:rPr>
          <w:lang w:val="sv-SE"/>
        </w:rPr>
        <w:t xml:space="preserve">acquisition </w:t>
      </w:r>
      <w:r w:rsidRPr="00174649">
        <w:rPr>
          <w:lang w:val="sv-SE"/>
        </w:rPr>
        <w:t>cost less accumulated depreciation and any impairment losses.</w:t>
      </w:r>
    </w:p>
    <w:p w14:paraId="0C2D4200" w14:textId="1CA52E46" w:rsidR="002C72DE" w:rsidRPr="00070B90" w:rsidRDefault="005B2A93" w:rsidP="00070B90">
      <w:pPr>
        <w:pStyle w:val="Brdtext"/>
        <w:spacing w:before="1" w:line="264" w:lineRule="auto"/>
        <w:ind w:left="118" w:right="328"/>
        <w:rPr>
          <w:lang w:val="sv-SE"/>
        </w:rPr>
      </w:pPr>
      <w:r>
        <w:rPr>
          <w:lang w:val="sv-SE"/>
        </w:rPr>
        <w:lastRenderedPageBreak/>
        <w:t>Acquisition c</w:t>
      </w:r>
      <w:r w:rsidR="002C72DE" w:rsidRPr="00070B90">
        <w:rPr>
          <w:lang w:val="sv-SE"/>
        </w:rPr>
        <w:t xml:space="preserve">ost comprises the purchase price, expenditure directly attributable to the asset to bring it to its location and condition for use, and estimated expenditure on dismantling and removing the asset and restoring the site on which it is located. Subsequent expenditure is included in the asset or </w:t>
      </w:r>
      <w:r w:rsidR="00457D97" w:rsidRPr="00070B90">
        <w:rPr>
          <w:lang w:val="sv-SE"/>
        </w:rPr>
        <w:t>recognize</w:t>
      </w:r>
      <w:r w:rsidR="002C72DE" w:rsidRPr="00070B90">
        <w:rPr>
          <w:lang w:val="sv-SE"/>
        </w:rPr>
        <w:t xml:space="preserve">d as a separate asset, as appropriate, only when it is probable that future economic benefits associated with the item will flow to the Group and its cost can be measured reliably. All other repair and maintenance costs and subsequent expenditure are </w:t>
      </w:r>
      <w:r w:rsidR="00457D97" w:rsidRPr="00070B90">
        <w:rPr>
          <w:lang w:val="sv-SE"/>
        </w:rPr>
        <w:t>recognize</w:t>
      </w:r>
      <w:r w:rsidR="002C72DE" w:rsidRPr="00070B90">
        <w:rPr>
          <w:lang w:val="sv-SE"/>
        </w:rPr>
        <w:t>d in the the income statement in the period in which they are incurred.</w:t>
      </w:r>
    </w:p>
    <w:p w14:paraId="3F49A4C9" w14:textId="77777777" w:rsidR="002C72DE" w:rsidRPr="00070B90" w:rsidRDefault="002C72DE" w:rsidP="00070B90">
      <w:pPr>
        <w:pStyle w:val="Brdtext"/>
        <w:spacing w:before="1" w:line="264" w:lineRule="auto"/>
        <w:ind w:left="118" w:right="328"/>
        <w:rPr>
          <w:lang w:val="sv-SE"/>
        </w:rPr>
      </w:pPr>
    </w:p>
    <w:p w14:paraId="074381FF" w14:textId="77777777" w:rsidR="002C72DE" w:rsidRPr="00BE0541" w:rsidRDefault="002C72DE" w:rsidP="00BE0541">
      <w:pPr>
        <w:pStyle w:val="Brdtext"/>
        <w:spacing w:before="1" w:line="264" w:lineRule="auto"/>
        <w:ind w:left="118" w:right="262"/>
        <w:rPr>
          <w:lang w:val="sv-SE"/>
        </w:rPr>
      </w:pPr>
      <w:r w:rsidRPr="00BE0541">
        <w:rPr>
          <w:lang w:val="sv-SE"/>
        </w:rPr>
        <w:t>Depreciation of property, plant and equipment is charged to the income statement on a straight-line basis over the estimated useful life of the asset, less any residual value at the end of the useful life. Land is not depreciated. Depreciation begins when the item of property, plant and equipment is used.</w:t>
      </w:r>
    </w:p>
    <w:p w14:paraId="43DED859" w14:textId="77777777" w:rsidR="002C72DE" w:rsidRPr="00BE0541" w:rsidRDefault="002C72DE" w:rsidP="00BE0541">
      <w:pPr>
        <w:pStyle w:val="Brdtext"/>
        <w:spacing w:before="1" w:line="264" w:lineRule="auto"/>
        <w:ind w:left="118" w:right="262"/>
        <w:rPr>
          <w:lang w:val="sv-SE"/>
        </w:rPr>
      </w:pPr>
    </w:p>
    <w:p w14:paraId="571E9776" w14:textId="77777777" w:rsidR="002C72DE" w:rsidRPr="00936613" w:rsidRDefault="002C72DE" w:rsidP="00B72046">
      <w:pPr>
        <w:pStyle w:val="Brdtext"/>
        <w:spacing w:before="107" w:line="264" w:lineRule="auto"/>
        <w:ind w:left="118" w:right="463"/>
      </w:pPr>
      <w:r w:rsidRPr="00936613">
        <w:t>The useful lives of the categories of property, plant and equipment have been estimated as follows:</w:t>
      </w:r>
    </w:p>
    <w:p w14:paraId="4BA56E7F" w14:textId="77777777" w:rsidR="002C72DE" w:rsidRPr="00C32605" w:rsidRDefault="002C72DE" w:rsidP="00534E27">
      <w:pPr>
        <w:pStyle w:val="Brdtext"/>
        <w:spacing w:before="1" w:line="264" w:lineRule="auto"/>
        <w:ind w:left="118" w:right="328"/>
        <w:rPr>
          <w:lang w:val="sv-SE"/>
        </w:rPr>
      </w:pPr>
    </w:p>
    <w:p w14:paraId="248CD5CE" w14:textId="183FA9EF" w:rsidR="002C72DE" w:rsidRPr="00C32605" w:rsidRDefault="002C72DE" w:rsidP="00C32605">
      <w:pPr>
        <w:pStyle w:val="Liststycke"/>
        <w:numPr>
          <w:ilvl w:val="0"/>
          <w:numId w:val="16"/>
        </w:numPr>
        <w:tabs>
          <w:tab w:val="left" w:pos="476"/>
          <w:tab w:val="left" w:pos="4439"/>
        </w:tabs>
        <w:spacing w:before="59"/>
        <w:rPr>
          <w:sz w:val="18"/>
          <w:lang w:val="sv-SE"/>
        </w:rPr>
      </w:pPr>
      <w:r w:rsidRPr="00C32605">
        <w:rPr>
          <w:sz w:val="18"/>
          <w:lang w:val="sv-SE"/>
        </w:rPr>
        <w:t xml:space="preserve">Real estate </w:t>
      </w:r>
      <w:r w:rsidR="00C32605">
        <w:rPr>
          <w:sz w:val="18"/>
          <w:lang w:val="sv-SE"/>
        </w:rPr>
        <w:tab/>
        <w:t>30</w:t>
      </w:r>
      <w:r w:rsidR="00AA384D">
        <w:rPr>
          <w:sz w:val="18"/>
          <w:lang w:val="sv-SE"/>
        </w:rPr>
        <w:t>-</w:t>
      </w:r>
      <w:r w:rsidRPr="00C32605">
        <w:rPr>
          <w:sz w:val="18"/>
          <w:lang w:val="sv-SE"/>
        </w:rPr>
        <w:t>50 years</w:t>
      </w:r>
    </w:p>
    <w:p w14:paraId="49F3073E" w14:textId="1EEA5D05" w:rsidR="002C72DE" w:rsidRPr="00C32605" w:rsidRDefault="002C72DE" w:rsidP="00C32605">
      <w:pPr>
        <w:pStyle w:val="Liststycke"/>
        <w:numPr>
          <w:ilvl w:val="0"/>
          <w:numId w:val="16"/>
        </w:numPr>
        <w:tabs>
          <w:tab w:val="left" w:pos="476"/>
          <w:tab w:val="left" w:pos="4439"/>
        </w:tabs>
        <w:spacing w:before="59"/>
        <w:rPr>
          <w:sz w:val="18"/>
          <w:lang w:val="sv-SE"/>
        </w:rPr>
      </w:pPr>
      <w:r w:rsidRPr="00C32605">
        <w:rPr>
          <w:sz w:val="18"/>
          <w:lang w:val="sv-SE"/>
        </w:rPr>
        <w:t xml:space="preserve">Improvement expenditure on buildings </w:t>
      </w:r>
      <w:r w:rsidR="00AA384D">
        <w:rPr>
          <w:sz w:val="18"/>
          <w:lang w:val="sv-SE"/>
        </w:rPr>
        <w:tab/>
        <w:t>15-</w:t>
      </w:r>
      <w:r w:rsidRPr="00C32605">
        <w:rPr>
          <w:sz w:val="18"/>
          <w:lang w:val="sv-SE"/>
        </w:rPr>
        <w:t>20 years</w:t>
      </w:r>
    </w:p>
    <w:p w14:paraId="0B69B356" w14:textId="1FFF4330" w:rsidR="002C72DE" w:rsidRPr="00C32605" w:rsidRDefault="002C72DE" w:rsidP="00C32605">
      <w:pPr>
        <w:pStyle w:val="Liststycke"/>
        <w:numPr>
          <w:ilvl w:val="0"/>
          <w:numId w:val="16"/>
        </w:numPr>
        <w:tabs>
          <w:tab w:val="left" w:pos="476"/>
          <w:tab w:val="left" w:pos="4439"/>
        </w:tabs>
        <w:spacing w:before="59"/>
        <w:rPr>
          <w:sz w:val="18"/>
          <w:lang w:val="sv-SE"/>
        </w:rPr>
      </w:pPr>
      <w:r w:rsidRPr="00C32605">
        <w:rPr>
          <w:sz w:val="18"/>
          <w:lang w:val="sv-SE"/>
        </w:rPr>
        <w:t xml:space="preserve">Activity equipment </w:t>
      </w:r>
      <w:r w:rsidR="00AA384D">
        <w:rPr>
          <w:sz w:val="18"/>
          <w:lang w:val="sv-SE"/>
        </w:rPr>
        <w:tab/>
      </w:r>
      <w:r w:rsidRPr="00C32605">
        <w:rPr>
          <w:sz w:val="18"/>
          <w:lang w:val="sv-SE"/>
        </w:rPr>
        <w:t>10-15 years</w:t>
      </w:r>
    </w:p>
    <w:p w14:paraId="7111AD9A" w14:textId="1EC14F06" w:rsidR="002C72DE" w:rsidRPr="00C32605" w:rsidRDefault="002C72DE" w:rsidP="00C32605">
      <w:pPr>
        <w:pStyle w:val="Liststycke"/>
        <w:numPr>
          <w:ilvl w:val="0"/>
          <w:numId w:val="16"/>
        </w:numPr>
        <w:tabs>
          <w:tab w:val="left" w:pos="476"/>
          <w:tab w:val="left" w:pos="4439"/>
        </w:tabs>
        <w:spacing w:before="59"/>
        <w:rPr>
          <w:sz w:val="18"/>
          <w:lang w:val="sv-SE"/>
        </w:rPr>
      </w:pPr>
      <w:r w:rsidRPr="00C32605">
        <w:rPr>
          <w:sz w:val="18"/>
          <w:lang w:val="sv-SE"/>
        </w:rPr>
        <w:t xml:space="preserve">Equipment, furniture, machinery </w:t>
      </w:r>
      <w:r w:rsidR="00AA384D">
        <w:rPr>
          <w:sz w:val="18"/>
          <w:lang w:val="sv-SE"/>
        </w:rPr>
        <w:tab/>
      </w:r>
      <w:r w:rsidRPr="00C32605">
        <w:rPr>
          <w:sz w:val="18"/>
          <w:lang w:val="sv-SE"/>
        </w:rPr>
        <w:t>4-5 years</w:t>
      </w:r>
    </w:p>
    <w:p w14:paraId="4E3DD219" w14:textId="790150B3" w:rsidR="002C72DE" w:rsidRPr="00C32605" w:rsidRDefault="002C72DE" w:rsidP="00C32605">
      <w:pPr>
        <w:pStyle w:val="Liststycke"/>
        <w:numPr>
          <w:ilvl w:val="0"/>
          <w:numId w:val="16"/>
        </w:numPr>
        <w:tabs>
          <w:tab w:val="left" w:pos="476"/>
          <w:tab w:val="left" w:pos="4439"/>
        </w:tabs>
        <w:spacing w:before="59"/>
        <w:rPr>
          <w:sz w:val="18"/>
          <w:lang w:val="sv-SE"/>
        </w:rPr>
      </w:pPr>
      <w:r w:rsidRPr="00C32605">
        <w:rPr>
          <w:sz w:val="18"/>
          <w:lang w:val="sv-SE"/>
        </w:rPr>
        <w:t xml:space="preserve">Other </w:t>
      </w:r>
      <w:r w:rsidR="00AA384D">
        <w:rPr>
          <w:sz w:val="18"/>
          <w:lang w:val="sv-SE"/>
        </w:rPr>
        <w:tab/>
      </w:r>
      <w:r w:rsidRPr="00C32605">
        <w:rPr>
          <w:sz w:val="18"/>
          <w:lang w:val="sv-SE"/>
        </w:rPr>
        <w:t>3-4 years</w:t>
      </w:r>
    </w:p>
    <w:p w14:paraId="5B45D00D" w14:textId="77777777" w:rsidR="00775469" w:rsidRPr="00534E27" w:rsidRDefault="00775469" w:rsidP="00534E27">
      <w:pPr>
        <w:pStyle w:val="Brdtext"/>
        <w:spacing w:before="1" w:line="264" w:lineRule="auto"/>
        <w:ind w:left="118" w:right="328"/>
        <w:rPr>
          <w:lang w:val="sv-SE"/>
        </w:rPr>
      </w:pPr>
    </w:p>
    <w:p w14:paraId="34B1EB50" w14:textId="089F1DC5" w:rsidR="002C72DE" w:rsidRPr="00B72046" w:rsidRDefault="002C72DE" w:rsidP="00B72046">
      <w:pPr>
        <w:pStyle w:val="Brdtext"/>
        <w:spacing w:before="107" w:line="264" w:lineRule="auto"/>
        <w:ind w:left="118" w:right="463"/>
        <w:rPr>
          <w:i/>
          <w:iCs/>
        </w:rPr>
      </w:pPr>
      <w:r w:rsidRPr="00B72046">
        <w:rPr>
          <w:i/>
          <w:iCs/>
        </w:rPr>
        <w:t>Derecognition from the balance sheet</w:t>
      </w:r>
    </w:p>
    <w:p w14:paraId="289D3AEC" w14:textId="5B34935B" w:rsidR="002C72DE" w:rsidRPr="00936613" w:rsidRDefault="002C72DE" w:rsidP="00B72046">
      <w:pPr>
        <w:pStyle w:val="Brdtext"/>
        <w:spacing w:before="107" w:line="264" w:lineRule="auto"/>
        <w:ind w:left="118" w:right="463"/>
      </w:pPr>
      <w:r w:rsidRPr="00936613">
        <w:t>The carrying amount of an item of property, plant and equipment is de</w:t>
      </w:r>
      <w:r w:rsidR="00457D97">
        <w:t>recognize</w:t>
      </w:r>
      <w:r w:rsidRPr="00936613">
        <w:t xml:space="preserve">d on disposal or retirement, or when no future economic benefits are expected from its use or disposal/disposal. The gain or loss arising from the retirement or disposal of the asset, being the difference between the net disposal proceeds (consideration received less direct selling expenses), if any, and its carrying amount, is </w:t>
      </w:r>
      <w:r w:rsidR="00457D97">
        <w:t>recognize</w:t>
      </w:r>
      <w:r w:rsidRPr="00936613">
        <w:t>d in the income statement as other operating income or other operating expenses in the period in which the asset is de</w:t>
      </w:r>
      <w:r w:rsidR="00457D97">
        <w:t>recognize</w:t>
      </w:r>
      <w:r w:rsidRPr="00936613">
        <w:t>d.</w:t>
      </w:r>
    </w:p>
    <w:p w14:paraId="32EA47ED" w14:textId="77777777" w:rsidR="002C72DE" w:rsidRPr="00534E27" w:rsidRDefault="002C72DE" w:rsidP="00534E27">
      <w:pPr>
        <w:pStyle w:val="Brdtext"/>
        <w:spacing w:before="1" w:line="264" w:lineRule="auto"/>
        <w:ind w:left="118" w:right="328"/>
        <w:rPr>
          <w:lang w:val="sv-SE"/>
        </w:rPr>
      </w:pPr>
    </w:p>
    <w:p w14:paraId="60D620EB" w14:textId="77777777" w:rsidR="002C72DE" w:rsidRPr="00691A50" w:rsidRDefault="002C72DE" w:rsidP="00691A50">
      <w:pPr>
        <w:ind w:left="118"/>
        <w:rPr>
          <w:b/>
          <w:sz w:val="18"/>
          <w:lang w:val="sv-SE"/>
        </w:rPr>
      </w:pPr>
      <w:r w:rsidRPr="00691A50">
        <w:rPr>
          <w:b/>
          <w:sz w:val="18"/>
          <w:lang w:val="sv-SE"/>
        </w:rPr>
        <w:t>Intangible assets (excluding goodwill)</w:t>
      </w:r>
    </w:p>
    <w:p w14:paraId="11B9BEB3" w14:textId="77777777" w:rsidR="002C72DE" w:rsidRPr="00534E27" w:rsidRDefault="002C72DE" w:rsidP="00534E27">
      <w:pPr>
        <w:pStyle w:val="Brdtext"/>
        <w:spacing w:before="1" w:line="264" w:lineRule="auto"/>
        <w:ind w:left="118" w:right="328"/>
        <w:rPr>
          <w:lang w:val="sv-SE"/>
        </w:rPr>
      </w:pPr>
    </w:p>
    <w:p w14:paraId="1DD59F03" w14:textId="04C9CECC" w:rsidR="002C72DE" w:rsidRPr="00B72046" w:rsidRDefault="002C72DE" w:rsidP="00B72046">
      <w:pPr>
        <w:pStyle w:val="Brdtext"/>
        <w:spacing w:before="107" w:line="264" w:lineRule="auto"/>
        <w:ind w:left="118" w:right="463"/>
        <w:rPr>
          <w:i/>
          <w:iCs/>
        </w:rPr>
      </w:pPr>
      <w:r w:rsidRPr="00B72046">
        <w:rPr>
          <w:i/>
          <w:iCs/>
        </w:rPr>
        <w:t>Capitali</w:t>
      </w:r>
      <w:r w:rsidR="007D7E6B">
        <w:rPr>
          <w:i/>
          <w:iCs/>
        </w:rPr>
        <w:t>z</w:t>
      </w:r>
      <w:r w:rsidRPr="00B72046">
        <w:rPr>
          <w:i/>
          <w:iCs/>
        </w:rPr>
        <w:t>ed expenditure on development work</w:t>
      </w:r>
    </w:p>
    <w:p w14:paraId="27420298" w14:textId="4311E5FF" w:rsidR="002C72DE" w:rsidRPr="00936613" w:rsidRDefault="002C72DE" w:rsidP="00B72046">
      <w:pPr>
        <w:pStyle w:val="Brdtext"/>
        <w:spacing w:before="107" w:line="264" w:lineRule="auto"/>
        <w:ind w:left="118" w:right="463"/>
      </w:pPr>
      <w:r w:rsidRPr="00412F4A">
        <w:rPr>
          <w:szCs w:val="22"/>
          <w:lang w:val="sv-SE"/>
        </w:rPr>
        <w:t>The Group capitali</w:t>
      </w:r>
      <w:r w:rsidR="007D7E6B">
        <w:rPr>
          <w:szCs w:val="22"/>
          <w:lang w:val="sv-SE"/>
        </w:rPr>
        <w:t>z</w:t>
      </w:r>
      <w:r w:rsidRPr="00412F4A">
        <w:rPr>
          <w:szCs w:val="22"/>
          <w:lang w:val="sv-SE"/>
        </w:rPr>
        <w:t>es expenditure</w:t>
      </w:r>
      <w:r w:rsidR="005E0977">
        <w:rPr>
          <w:szCs w:val="22"/>
          <w:lang w:val="sv-SE"/>
        </w:rPr>
        <w:t>s</w:t>
      </w:r>
      <w:r w:rsidRPr="00412F4A">
        <w:rPr>
          <w:szCs w:val="22"/>
          <w:lang w:val="sv-SE"/>
        </w:rPr>
        <w:t xml:space="preserve"> that </w:t>
      </w:r>
      <w:r w:rsidR="005E0977">
        <w:rPr>
          <w:szCs w:val="22"/>
          <w:lang w:val="sv-SE"/>
        </w:rPr>
        <w:t>are</w:t>
      </w:r>
      <w:r w:rsidRPr="00412F4A">
        <w:rPr>
          <w:szCs w:val="22"/>
          <w:lang w:val="sv-SE"/>
        </w:rPr>
        <w:t xml:space="preserve"> directly attributable to the start-up of new business premises, concept</w:t>
      </w:r>
      <w:r w:rsidRPr="00936613">
        <w:t xml:space="preserve"> development and training platform. The Group capitali</w:t>
      </w:r>
      <w:r w:rsidR="005E0977">
        <w:t>z</w:t>
      </w:r>
      <w:r w:rsidRPr="00936613">
        <w:t>es expenditure only when the following requirements are met</w:t>
      </w:r>
    </w:p>
    <w:p w14:paraId="2A6A4628" w14:textId="3329881A" w:rsidR="002C72DE" w:rsidRPr="00603507" w:rsidRDefault="002C72DE" w:rsidP="00603507">
      <w:pPr>
        <w:pStyle w:val="Liststycke"/>
        <w:numPr>
          <w:ilvl w:val="0"/>
          <w:numId w:val="18"/>
        </w:numPr>
        <w:tabs>
          <w:tab w:val="left" w:pos="476"/>
        </w:tabs>
        <w:spacing w:before="81"/>
        <w:ind w:left="476" w:hanging="358"/>
        <w:rPr>
          <w:sz w:val="18"/>
          <w:lang w:val="sv-SE"/>
        </w:rPr>
      </w:pPr>
      <w:r w:rsidRPr="00603507">
        <w:rPr>
          <w:sz w:val="18"/>
          <w:lang w:val="sv-SE"/>
        </w:rPr>
        <w:t>it is technically feasible to complete the intangible asset and use or sell it,</w:t>
      </w:r>
    </w:p>
    <w:p w14:paraId="4A122434" w14:textId="5AD787B3" w:rsidR="002C72DE" w:rsidRPr="00603507" w:rsidRDefault="002C72DE" w:rsidP="00603507">
      <w:pPr>
        <w:pStyle w:val="Liststycke"/>
        <w:numPr>
          <w:ilvl w:val="0"/>
          <w:numId w:val="18"/>
        </w:numPr>
        <w:tabs>
          <w:tab w:val="left" w:pos="476"/>
        </w:tabs>
        <w:spacing w:before="81"/>
        <w:ind w:left="476" w:hanging="358"/>
        <w:rPr>
          <w:sz w:val="18"/>
          <w:lang w:val="sv-SE"/>
        </w:rPr>
      </w:pPr>
      <w:r w:rsidRPr="00603507">
        <w:rPr>
          <w:sz w:val="18"/>
          <w:lang w:val="sv-SE"/>
        </w:rPr>
        <w:t>the entity intends to complete the intangible asset and use or sell it</w:t>
      </w:r>
    </w:p>
    <w:p w14:paraId="3503B728" w14:textId="46A20BE1" w:rsidR="002C72DE" w:rsidRPr="00603507" w:rsidRDefault="002C72DE" w:rsidP="00603507">
      <w:pPr>
        <w:pStyle w:val="Liststycke"/>
        <w:numPr>
          <w:ilvl w:val="0"/>
          <w:numId w:val="18"/>
        </w:numPr>
        <w:tabs>
          <w:tab w:val="left" w:pos="476"/>
        </w:tabs>
        <w:spacing w:before="81"/>
        <w:ind w:left="476" w:hanging="358"/>
        <w:rPr>
          <w:sz w:val="18"/>
          <w:lang w:val="sv-SE"/>
        </w:rPr>
      </w:pPr>
      <w:r w:rsidRPr="00603507">
        <w:rPr>
          <w:sz w:val="18"/>
          <w:lang w:val="sv-SE"/>
        </w:rPr>
        <w:t>the conditions for using or selling the intangible asset exist,</w:t>
      </w:r>
    </w:p>
    <w:p w14:paraId="6A965252" w14:textId="0BD70245" w:rsidR="002C72DE" w:rsidRPr="00603507" w:rsidRDefault="002C72DE" w:rsidP="00603507">
      <w:pPr>
        <w:pStyle w:val="Liststycke"/>
        <w:numPr>
          <w:ilvl w:val="0"/>
          <w:numId w:val="18"/>
        </w:numPr>
        <w:tabs>
          <w:tab w:val="left" w:pos="476"/>
        </w:tabs>
        <w:spacing w:before="81"/>
        <w:ind w:left="476" w:hanging="358"/>
        <w:rPr>
          <w:sz w:val="18"/>
          <w:lang w:val="sv-SE"/>
        </w:rPr>
      </w:pPr>
      <w:r w:rsidRPr="00603507">
        <w:rPr>
          <w:sz w:val="18"/>
          <w:lang w:val="sv-SE"/>
        </w:rPr>
        <w:t>the entity demonstrates how the intangible asset will generate probable future economic benefits</w:t>
      </w:r>
    </w:p>
    <w:p w14:paraId="23E0F6FF" w14:textId="507C2BF0" w:rsidR="002C72DE" w:rsidRPr="001644A8" w:rsidRDefault="002C72DE" w:rsidP="001644A8">
      <w:pPr>
        <w:pStyle w:val="Liststycke"/>
        <w:numPr>
          <w:ilvl w:val="0"/>
          <w:numId w:val="18"/>
        </w:numPr>
        <w:tabs>
          <w:tab w:val="left" w:pos="476"/>
        </w:tabs>
        <w:spacing w:before="81"/>
        <w:ind w:left="476" w:hanging="358"/>
        <w:rPr>
          <w:sz w:val="18"/>
          <w:lang w:val="sv-SE"/>
        </w:rPr>
      </w:pPr>
      <w:r w:rsidRPr="001644A8">
        <w:rPr>
          <w:sz w:val="18"/>
          <w:lang w:val="sv-SE"/>
        </w:rPr>
        <w:t>adequate technical, financial and other resources are available to complete the development and to use or sell the intangible asset; and</w:t>
      </w:r>
    </w:p>
    <w:p w14:paraId="08705B00" w14:textId="5D0FF6D0" w:rsidR="002C72DE" w:rsidRDefault="002C72DE" w:rsidP="00603507">
      <w:pPr>
        <w:pStyle w:val="Liststycke"/>
        <w:numPr>
          <w:ilvl w:val="0"/>
          <w:numId w:val="18"/>
        </w:numPr>
        <w:tabs>
          <w:tab w:val="left" w:pos="476"/>
        </w:tabs>
        <w:spacing w:before="81"/>
        <w:ind w:left="476" w:hanging="358"/>
        <w:rPr>
          <w:sz w:val="18"/>
          <w:lang w:val="sv-SE"/>
        </w:rPr>
      </w:pPr>
      <w:r w:rsidRPr="00603507">
        <w:rPr>
          <w:sz w:val="18"/>
          <w:lang w:val="sv-SE"/>
        </w:rPr>
        <w:t>the expenditure attributable to the intangible asset during its development can be measured reliably.</w:t>
      </w:r>
    </w:p>
    <w:p w14:paraId="3A7E3BDE" w14:textId="77777777" w:rsidR="00F57BB7" w:rsidRPr="00F57BB7" w:rsidRDefault="00F57BB7" w:rsidP="00F57BB7">
      <w:pPr>
        <w:tabs>
          <w:tab w:val="left" w:pos="476"/>
        </w:tabs>
        <w:spacing w:before="81"/>
        <w:ind w:left="118"/>
        <w:rPr>
          <w:sz w:val="18"/>
          <w:lang w:val="sv-SE"/>
        </w:rPr>
      </w:pPr>
    </w:p>
    <w:p w14:paraId="595FB19E" w14:textId="483BFB9A" w:rsidR="002C72DE" w:rsidRPr="00F57BB7" w:rsidRDefault="002C72DE" w:rsidP="00F57BB7">
      <w:pPr>
        <w:pStyle w:val="Brdtext"/>
        <w:spacing w:line="264" w:lineRule="auto"/>
        <w:ind w:left="118"/>
        <w:rPr>
          <w:lang w:val="sv-SE"/>
        </w:rPr>
      </w:pPr>
      <w:r w:rsidRPr="00F57BB7">
        <w:rPr>
          <w:lang w:val="sv-SE"/>
        </w:rPr>
        <w:t>The activated cost includes directly attributable costs for external consultants. The Group does not capitali</w:t>
      </w:r>
      <w:r w:rsidR="00AC1D8B" w:rsidRPr="00F57BB7">
        <w:rPr>
          <w:lang w:val="sv-SE"/>
        </w:rPr>
        <w:t>z</w:t>
      </w:r>
      <w:r w:rsidRPr="00F57BB7">
        <w:rPr>
          <w:lang w:val="sv-SE"/>
        </w:rPr>
        <w:t xml:space="preserve">e its own work. Software and website maintenance costs are expensed as incurred. If it is not possible to </w:t>
      </w:r>
      <w:r w:rsidR="00457D97" w:rsidRPr="00F57BB7">
        <w:rPr>
          <w:lang w:val="sv-SE"/>
        </w:rPr>
        <w:t>recognize</w:t>
      </w:r>
      <w:r w:rsidRPr="00F57BB7">
        <w:rPr>
          <w:lang w:val="sv-SE"/>
        </w:rPr>
        <w:t xml:space="preserve"> any internally generated intangible asset, the expenditure is </w:t>
      </w:r>
      <w:r w:rsidR="00457D97" w:rsidRPr="00F57BB7">
        <w:rPr>
          <w:lang w:val="sv-SE"/>
        </w:rPr>
        <w:t>recognize</w:t>
      </w:r>
      <w:r w:rsidRPr="00F57BB7">
        <w:rPr>
          <w:lang w:val="sv-SE"/>
        </w:rPr>
        <w:t>d as an expense in the period in which it is incurred. Subsequent to initial recognition, intangible assets are stated at cost less accumulated amorti</w:t>
      </w:r>
      <w:r w:rsidR="00AC1D8B" w:rsidRPr="00F57BB7">
        <w:rPr>
          <w:lang w:val="sv-SE"/>
        </w:rPr>
        <w:t>z</w:t>
      </w:r>
      <w:r w:rsidRPr="00F57BB7">
        <w:rPr>
          <w:lang w:val="sv-SE"/>
        </w:rPr>
        <w:t>ation and any accumulated impairment losses. The estimated useful life is 5 years. Estimated useful lives and amorti</w:t>
      </w:r>
      <w:r w:rsidR="00AC1D8B" w:rsidRPr="00F57BB7">
        <w:rPr>
          <w:lang w:val="sv-SE"/>
        </w:rPr>
        <w:t>z</w:t>
      </w:r>
      <w:r w:rsidRPr="00F57BB7">
        <w:rPr>
          <w:lang w:val="sv-SE"/>
        </w:rPr>
        <w:t xml:space="preserve">ation methods are reviewed at least at the end of each financial year; the effect of any changes in estimates is </w:t>
      </w:r>
      <w:r w:rsidR="00457D97" w:rsidRPr="00F57BB7">
        <w:rPr>
          <w:lang w:val="sv-SE"/>
        </w:rPr>
        <w:t>recognize</w:t>
      </w:r>
      <w:r w:rsidRPr="00F57BB7">
        <w:rPr>
          <w:lang w:val="sv-SE"/>
        </w:rPr>
        <w:t>d prospectively.</w:t>
      </w:r>
    </w:p>
    <w:p w14:paraId="472DD117" w14:textId="77777777" w:rsidR="002C72DE" w:rsidRPr="00936613" w:rsidRDefault="002C72DE" w:rsidP="002C72DE">
      <w:pPr>
        <w:rPr>
          <w:sz w:val="18"/>
          <w:szCs w:val="18"/>
        </w:rPr>
      </w:pPr>
    </w:p>
    <w:p w14:paraId="43BB3F44" w14:textId="77777777" w:rsidR="002C72DE" w:rsidRPr="00B72046" w:rsidRDefault="002C72DE" w:rsidP="00B72046">
      <w:pPr>
        <w:pStyle w:val="Rubrik8"/>
        <w:rPr>
          <w:spacing w:val="-2"/>
        </w:rPr>
      </w:pPr>
      <w:r w:rsidRPr="00B72046">
        <w:rPr>
          <w:spacing w:val="-2"/>
        </w:rPr>
        <w:t>Leasing - the Group as lessee</w:t>
      </w:r>
    </w:p>
    <w:p w14:paraId="0176DA5D" w14:textId="77777777" w:rsidR="002C72DE" w:rsidRPr="00936613" w:rsidRDefault="002C72DE" w:rsidP="00B72046">
      <w:pPr>
        <w:pStyle w:val="Brdtext"/>
        <w:spacing w:before="107" w:line="264" w:lineRule="auto"/>
        <w:ind w:left="118" w:right="463"/>
      </w:pPr>
      <w:r w:rsidRPr="00936613">
        <w:t>The Group's leases primarily consist of rental agreements, activity equipment in the parks (trampolines, climbing walls, etc.) and cars.</w:t>
      </w:r>
    </w:p>
    <w:p w14:paraId="47A3E046" w14:textId="6BFC507D" w:rsidR="002C72DE" w:rsidRPr="00A11227" w:rsidRDefault="002C72DE" w:rsidP="00A11227">
      <w:pPr>
        <w:pStyle w:val="Brdtext"/>
        <w:spacing w:before="98" w:line="264" w:lineRule="auto"/>
        <w:ind w:left="118" w:right="413"/>
        <w:rPr>
          <w:lang w:val="sv-SE"/>
        </w:rPr>
      </w:pPr>
      <w:r w:rsidRPr="00A11227">
        <w:rPr>
          <w:lang w:val="sv-SE"/>
        </w:rPr>
        <w:t xml:space="preserve">The Group assesses whether the agreement is, or contains, a lease when the agreement is entered into. The Group </w:t>
      </w:r>
      <w:r w:rsidR="00457D97" w:rsidRPr="00A11227">
        <w:rPr>
          <w:lang w:val="sv-SE"/>
        </w:rPr>
        <w:t>recognize</w:t>
      </w:r>
      <w:r w:rsidRPr="00A11227">
        <w:rPr>
          <w:lang w:val="sv-SE"/>
        </w:rPr>
        <w:t xml:space="preserve">s a right-of-use asset and a corresponding lease liability for all leases where the Group is the lessee, except for short-term leases (contracts classified as leases with a lease term of less than 12 months) and low-value leases (such as computers and office equipment). For these leases, the Group </w:t>
      </w:r>
      <w:r w:rsidR="00457D97" w:rsidRPr="00A11227">
        <w:rPr>
          <w:lang w:val="sv-SE"/>
        </w:rPr>
        <w:t>recognize</w:t>
      </w:r>
      <w:r w:rsidRPr="00A11227">
        <w:rPr>
          <w:lang w:val="sv-SE"/>
        </w:rPr>
        <w:t>s the lease payments as an expense on a straight-line basis over the lease term unless another systematic method is more representative of when the economic benefits from the leased assets are consumed by the Group</w:t>
      </w:r>
    </w:p>
    <w:p w14:paraId="48554EDF" w14:textId="4E6D9A2A" w:rsidR="002C72DE" w:rsidRPr="00431206" w:rsidRDefault="002C72DE" w:rsidP="00431206">
      <w:pPr>
        <w:pStyle w:val="Brdtext"/>
        <w:spacing w:before="1" w:line="264" w:lineRule="auto"/>
        <w:ind w:left="118" w:right="286"/>
        <w:rPr>
          <w:lang w:val="sv-SE"/>
        </w:rPr>
      </w:pPr>
      <w:r w:rsidRPr="00431206">
        <w:rPr>
          <w:lang w:val="sv-SE"/>
        </w:rPr>
        <w:lastRenderedPageBreak/>
        <w:t xml:space="preserve">The lease liability is initially measured at the present value of the lease payments outstanding at the starting date, discounted using the interest rate implicit in the lease, if that rate is </w:t>
      </w:r>
      <w:r w:rsidR="00805CFF">
        <w:rPr>
          <w:lang w:val="sv-SE"/>
        </w:rPr>
        <w:t>read</w:t>
      </w:r>
      <w:r w:rsidRPr="00431206">
        <w:rPr>
          <w:lang w:val="sv-SE"/>
        </w:rPr>
        <w:t xml:space="preserve">ily possible to determine. If that rate is </w:t>
      </w:r>
      <w:r w:rsidR="00EC1896">
        <w:rPr>
          <w:lang w:val="sv-SE"/>
        </w:rPr>
        <w:t xml:space="preserve">not </w:t>
      </w:r>
      <w:r w:rsidRPr="00431206">
        <w:rPr>
          <w:lang w:val="sv-SE"/>
        </w:rPr>
        <w:t>easily possible to determine, the group shall use the lessee's incremental borrowing rate. The interest rate is based on an analysis and assessment of the interest rate that JumpYard would have to pay for similar financing solutions with equivalent collateral.</w:t>
      </w:r>
    </w:p>
    <w:p w14:paraId="0BBF9802" w14:textId="77777777" w:rsidR="002C72DE" w:rsidRPr="00431206" w:rsidRDefault="002C72DE" w:rsidP="00431206">
      <w:pPr>
        <w:pStyle w:val="Brdtext"/>
        <w:spacing w:before="1" w:line="264" w:lineRule="auto"/>
        <w:ind w:left="118" w:right="286"/>
        <w:rPr>
          <w:lang w:val="sv-SE"/>
        </w:rPr>
      </w:pPr>
    </w:p>
    <w:p w14:paraId="503733C8" w14:textId="77777777" w:rsidR="002C72DE" w:rsidRPr="00936613" w:rsidRDefault="002C72DE" w:rsidP="00B72046">
      <w:pPr>
        <w:pStyle w:val="Brdtext"/>
        <w:spacing w:before="107" w:line="264" w:lineRule="auto"/>
        <w:ind w:left="118" w:right="463"/>
      </w:pPr>
      <w:r w:rsidRPr="00936613">
        <w:t>The following lease payments are included in the measurement of the lease liability</w:t>
      </w:r>
    </w:p>
    <w:p w14:paraId="70CA5C31" w14:textId="61B66D0C" w:rsidR="002C72DE" w:rsidRPr="00A61637" w:rsidRDefault="002C72DE" w:rsidP="00A61637">
      <w:pPr>
        <w:pStyle w:val="Liststycke"/>
        <w:numPr>
          <w:ilvl w:val="0"/>
          <w:numId w:val="21"/>
        </w:numPr>
        <w:tabs>
          <w:tab w:val="left" w:pos="476"/>
        </w:tabs>
        <w:spacing w:before="81"/>
        <w:ind w:left="476" w:right="562" w:hanging="358"/>
        <w:rPr>
          <w:sz w:val="18"/>
          <w:lang w:val="sv-SE"/>
        </w:rPr>
      </w:pPr>
      <w:r w:rsidRPr="00A61637">
        <w:rPr>
          <w:sz w:val="18"/>
          <w:lang w:val="sv-SE"/>
        </w:rPr>
        <w:t>fixed charges (including, in substance, fixed charges less any benefits associated with entering into the lease)</w:t>
      </w:r>
    </w:p>
    <w:p w14:paraId="1E3FAA28" w14:textId="5D3E5613" w:rsidR="002C72DE" w:rsidRPr="00A61637" w:rsidRDefault="002C72DE" w:rsidP="00A61637">
      <w:pPr>
        <w:pStyle w:val="Liststycke"/>
        <w:numPr>
          <w:ilvl w:val="0"/>
          <w:numId w:val="21"/>
        </w:numPr>
        <w:tabs>
          <w:tab w:val="left" w:pos="476"/>
        </w:tabs>
        <w:spacing w:before="81"/>
        <w:ind w:left="476" w:right="562" w:hanging="358"/>
        <w:rPr>
          <w:sz w:val="18"/>
          <w:lang w:val="sv-SE"/>
        </w:rPr>
      </w:pPr>
      <w:r w:rsidRPr="00A61637">
        <w:rPr>
          <w:sz w:val="18"/>
          <w:lang w:val="sv-SE"/>
        </w:rPr>
        <w:t>variable lease payments that depend on an index or a price, initially measured using the index or price in effect at the starting date</w:t>
      </w:r>
    </w:p>
    <w:p w14:paraId="0B6F78CE" w14:textId="47071479" w:rsidR="002C72DE" w:rsidRPr="00A61637" w:rsidRDefault="002C72DE" w:rsidP="00A61637">
      <w:pPr>
        <w:pStyle w:val="Liststycke"/>
        <w:numPr>
          <w:ilvl w:val="0"/>
          <w:numId w:val="21"/>
        </w:numPr>
        <w:tabs>
          <w:tab w:val="left" w:pos="476"/>
        </w:tabs>
        <w:spacing w:before="81"/>
        <w:ind w:left="476" w:right="562" w:hanging="358"/>
        <w:rPr>
          <w:sz w:val="18"/>
          <w:lang w:val="sv-SE"/>
        </w:rPr>
      </w:pPr>
      <w:r w:rsidRPr="00A61637">
        <w:rPr>
          <w:sz w:val="18"/>
          <w:lang w:val="sv-SE"/>
        </w:rPr>
        <w:t>the amount expected to be paid by the lessee under residual value guarantees the amount expected to be paid under any residual value guarantee provided to the lessor by the lessee, a party related to the lessee or a third party unrelated to the lessor that is financially capable of discharging the contractual obligations</w:t>
      </w:r>
    </w:p>
    <w:p w14:paraId="4E7A3A1F" w14:textId="1B8462A4" w:rsidR="002C72DE" w:rsidRPr="00A61637" w:rsidRDefault="002C72DE" w:rsidP="00A61637">
      <w:pPr>
        <w:pStyle w:val="Liststycke"/>
        <w:numPr>
          <w:ilvl w:val="0"/>
          <w:numId w:val="21"/>
        </w:numPr>
        <w:tabs>
          <w:tab w:val="left" w:pos="476"/>
        </w:tabs>
        <w:spacing w:before="81"/>
        <w:ind w:left="476" w:right="562" w:hanging="358"/>
        <w:rPr>
          <w:sz w:val="18"/>
          <w:lang w:val="sv-SE"/>
        </w:rPr>
      </w:pPr>
      <w:r w:rsidRPr="00A61637">
        <w:rPr>
          <w:sz w:val="18"/>
          <w:lang w:val="sv-SE"/>
        </w:rPr>
        <w:t>the exercise price of options to buy if the lessee is reasonably certain to exercise the options; and</w:t>
      </w:r>
    </w:p>
    <w:p w14:paraId="2774A9F3" w14:textId="27EC250A" w:rsidR="002C72DE" w:rsidRPr="00793E06" w:rsidRDefault="002C72DE" w:rsidP="00793E06">
      <w:pPr>
        <w:pStyle w:val="Liststycke"/>
        <w:numPr>
          <w:ilvl w:val="0"/>
          <w:numId w:val="21"/>
        </w:numPr>
        <w:tabs>
          <w:tab w:val="left" w:pos="476"/>
        </w:tabs>
        <w:spacing w:before="81"/>
        <w:ind w:left="476" w:right="562" w:hanging="358"/>
        <w:rPr>
          <w:sz w:val="18"/>
          <w:lang w:val="sv-SE"/>
        </w:rPr>
      </w:pPr>
      <w:r w:rsidRPr="00A61637">
        <w:rPr>
          <w:sz w:val="18"/>
          <w:lang w:val="sv-SE"/>
        </w:rPr>
        <w:t>penalties payable on termination of the lease, if the lease term reflects that the lessee will exercise an option to terminate the lease.</w:t>
      </w:r>
      <w:r w:rsidR="00E04A3D">
        <w:rPr>
          <w:sz w:val="18"/>
          <w:lang w:val="sv-SE"/>
        </w:rPr>
        <w:br/>
      </w:r>
    </w:p>
    <w:p w14:paraId="771BD614" w14:textId="18BC8CCA" w:rsidR="005A345B" w:rsidRDefault="005A345B" w:rsidP="00CB6D7C">
      <w:pPr>
        <w:pStyle w:val="Brdtext"/>
        <w:spacing w:line="264" w:lineRule="auto"/>
        <w:ind w:left="118" w:right="270"/>
        <w:jc w:val="both"/>
        <w:rPr>
          <w:lang w:val="sv-SE"/>
        </w:rPr>
      </w:pPr>
      <w:r w:rsidRPr="005A345B">
        <w:rPr>
          <w:lang w:val="sv-SE"/>
        </w:rPr>
        <w:t xml:space="preserve">The lease liability is reported as a separate item in the consolidated </w:t>
      </w:r>
      <w:r>
        <w:rPr>
          <w:lang w:val="sv-SE"/>
        </w:rPr>
        <w:t>balance sheet</w:t>
      </w:r>
      <w:r w:rsidRPr="005A345B">
        <w:rPr>
          <w:lang w:val="sv-SE"/>
        </w:rPr>
        <w:t>, divided between a short-term and a long-term liability.</w:t>
      </w:r>
    </w:p>
    <w:p w14:paraId="0A962272" w14:textId="77777777" w:rsidR="005A345B" w:rsidRDefault="005A345B" w:rsidP="00CB6D7C">
      <w:pPr>
        <w:pStyle w:val="Brdtext"/>
        <w:spacing w:line="264" w:lineRule="auto"/>
        <w:ind w:left="118" w:right="270"/>
        <w:jc w:val="both"/>
        <w:rPr>
          <w:lang w:val="sv-SE"/>
        </w:rPr>
      </w:pPr>
    </w:p>
    <w:p w14:paraId="26DBC4F6" w14:textId="01F0B681" w:rsidR="00CB6D7C" w:rsidRDefault="002C72DE" w:rsidP="00CB6D7C">
      <w:pPr>
        <w:pStyle w:val="Brdtext"/>
        <w:spacing w:line="264" w:lineRule="auto"/>
        <w:ind w:left="118" w:right="270"/>
        <w:jc w:val="both"/>
        <w:rPr>
          <w:lang w:val="sv-SE"/>
        </w:rPr>
      </w:pPr>
      <w:r w:rsidRPr="004A3F8D">
        <w:rPr>
          <w:lang w:val="sv-SE"/>
        </w:rPr>
        <w:t>After the starting date, the lease liability is measured by increasing the carrying amount to reflect the interest on the lease liability (using the effective interest method), and by decreasing the carrying amount to reflect the lease payments made.</w:t>
      </w:r>
    </w:p>
    <w:p w14:paraId="56DAB81D" w14:textId="77777777" w:rsidR="00CB6D7C" w:rsidRDefault="00CB6D7C" w:rsidP="00CB6D7C">
      <w:pPr>
        <w:pStyle w:val="Brdtext"/>
        <w:spacing w:line="264" w:lineRule="auto"/>
        <w:ind w:left="118" w:right="270"/>
        <w:jc w:val="both"/>
        <w:rPr>
          <w:lang w:val="sv-SE"/>
        </w:rPr>
      </w:pPr>
    </w:p>
    <w:p w14:paraId="45CC8AA6" w14:textId="581FCBCF" w:rsidR="002C72DE" w:rsidRPr="00CB6D7C" w:rsidRDefault="002C72DE" w:rsidP="00CB6D7C">
      <w:pPr>
        <w:pStyle w:val="Brdtext"/>
        <w:spacing w:line="264" w:lineRule="auto"/>
        <w:ind w:left="118" w:right="270"/>
        <w:jc w:val="both"/>
        <w:rPr>
          <w:lang w:val="sv-SE"/>
        </w:rPr>
      </w:pPr>
      <w:r w:rsidRPr="00936613">
        <w:t>The Group remeasures the lease liability (and makes a corresponding adjustment to the right-of-use asset) if either:</w:t>
      </w:r>
    </w:p>
    <w:p w14:paraId="52EFDCBE" w14:textId="46D083CD" w:rsidR="002C72DE" w:rsidRPr="00936613" w:rsidRDefault="002C72DE" w:rsidP="00FB4614">
      <w:pPr>
        <w:pStyle w:val="Brdtext"/>
        <w:numPr>
          <w:ilvl w:val="0"/>
          <w:numId w:val="19"/>
        </w:numPr>
        <w:spacing w:before="107" w:line="264" w:lineRule="auto"/>
        <w:ind w:right="463"/>
      </w:pPr>
      <w:r w:rsidRPr="00936613">
        <w:t>The lease term changes or the assessment of an option to purchase the underlying asset changes, in which case the lease liability is required to be remeasured by discounting the revised lease payments using a revised discount rate.</w:t>
      </w:r>
    </w:p>
    <w:p w14:paraId="56F44814" w14:textId="4EA80EF3" w:rsidR="002C72DE" w:rsidRPr="00936613" w:rsidRDefault="002C72DE" w:rsidP="00FB4614">
      <w:pPr>
        <w:pStyle w:val="Brdtext"/>
        <w:numPr>
          <w:ilvl w:val="0"/>
          <w:numId w:val="19"/>
        </w:numPr>
        <w:spacing w:before="107" w:line="264" w:lineRule="auto"/>
        <w:ind w:right="463"/>
      </w:pPr>
      <w:r w:rsidRPr="00936613">
        <w:t>the lease payments change as a result of changes in an index or price or if there is a change in the amounts expected to be paid under a residual value guarantee, in which case the lease liability is remeasured by discounting the revised lease payments using the initial discount rate.</w:t>
      </w:r>
    </w:p>
    <w:p w14:paraId="747E060C" w14:textId="5C216EE2" w:rsidR="002C72DE" w:rsidRPr="00936613" w:rsidRDefault="002C72DE" w:rsidP="00FB4614">
      <w:pPr>
        <w:pStyle w:val="Brdtext"/>
        <w:numPr>
          <w:ilvl w:val="0"/>
          <w:numId w:val="19"/>
        </w:numPr>
        <w:spacing w:before="107" w:line="264" w:lineRule="auto"/>
        <w:ind w:right="463"/>
      </w:pPr>
      <w:r w:rsidRPr="00936613">
        <w:t xml:space="preserve">a modification of the lease that is not </w:t>
      </w:r>
      <w:r w:rsidR="00457D97">
        <w:t>recognize</w:t>
      </w:r>
      <w:r w:rsidRPr="00936613">
        <w:t>d as a separate lease, in which case the lease liability is remeasured by discounting the modified lease payments using a revised discount rate.</w:t>
      </w:r>
    </w:p>
    <w:p w14:paraId="21BAF1F2" w14:textId="77777777" w:rsidR="002C72DE" w:rsidRPr="0007235B" w:rsidRDefault="002C72DE" w:rsidP="0007235B">
      <w:pPr>
        <w:pStyle w:val="Brdtext"/>
        <w:spacing w:before="81"/>
        <w:rPr>
          <w:lang w:val="sv-SE"/>
        </w:rPr>
      </w:pPr>
    </w:p>
    <w:p w14:paraId="1BE0A6DC" w14:textId="0661CD17" w:rsidR="002C72DE" w:rsidRPr="0007235B" w:rsidRDefault="002C72DE" w:rsidP="00330695">
      <w:pPr>
        <w:pStyle w:val="Brdtext"/>
        <w:spacing w:before="1" w:line="264" w:lineRule="auto"/>
        <w:ind w:left="118" w:right="286"/>
        <w:rPr>
          <w:lang w:val="sv-SE"/>
        </w:rPr>
      </w:pPr>
      <w:r w:rsidRPr="0007235B">
        <w:rPr>
          <w:lang w:val="sv-SE"/>
        </w:rPr>
        <w:t>Right-of-use assets comprise the sum of the initial measurement of the corresponding lease liability, lease payments made at or before the starting date and any initial direct costs. Subsequently, they are measured at</w:t>
      </w:r>
      <w:r w:rsidR="00E31463">
        <w:rPr>
          <w:lang w:val="sv-SE"/>
        </w:rPr>
        <w:t xml:space="preserve"> accumulated</w:t>
      </w:r>
      <w:r w:rsidRPr="0007235B">
        <w:rPr>
          <w:lang w:val="sv-SE"/>
        </w:rPr>
        <w:t xml:space="preserve"> cost less accumulated amorti</w:t>
      </w:r>
      <w:r w:rsidR="00E31463">
        <w:rPr>
          <w:lang w:val="sv-SE"/>
        </w:rPr>
        <w:t>z</w:t>
      </w:r>
      <w:r w:rsidRPr="0007235B">
        <w:rPr>
          <w:lang w:val="sv-SE"/>
        </w:rPr>
        <w:t>ation and impairment losses.</w:t>
      </w:r>
    </w:p>
    <w:p w14:paraId="146E0683" w14:textId="77777777" w:rsidR="002C72DE" w:rsidRPr="0007235B" w:rsidRDefault="002C72DE" w:rsidP="00330695">
      <w:pPr>
        <w:pStyle w:val="Brdtext"/>
        <w:spacing w:before="1" w:line="264" w:lineRule="auto"/>
        <w:ind w:left="118" w:right="286"/>
        <w:rPr>
          <w:lang w:val="sv-SE"/>
        </w:rPr>
      </w:pPr>
    </w:p>
    <w:p w14:paraId="5BFC9918" w14:textId="3C96CE97" w:rsidR="002C72DE" w:rsidRPr="0007235B" w:rsidRDefault="002C72DE" w:rsidP="00330695">
      <w:pPr>
        <w:pStyle w:val="Brdtext"/>
        <w:spacing w:before="1" w:line="264" w:lineRule="auto"/>
        <w:ind w:left="118" w:right="286"/>
        <w:rPr>
          <w:lang w:val="sv-SE"/>
        </w:rPr>
      </w:pPr>
      <w:r w:rsidRPr="0007235B">
        <w:rPr>
          <w:lang w:val="sv-SE"/>
        </w:rPr>
        <w:t>Right-of-use assets are amorti</w:t>
      </w:r>
      <w:r w:rsidR="008D7A2D">
        <w:rPr>
          <w:lang w:val="sv-SE"/>
        </w:rPr>
        <w:t>z</w:t>
      </w:r>
      <w:r w:rsidRPr="0007235B">
        <w:rPr>
          <w:lang w:val="sv-SE"/>
        </w:rPr>
        <w:t>ed over the shorter of the lease term and the useful life of the underlying asset. If the lease transfers ownership of the underlying asset to the Group or if the cost of the right-of-use asset reflects that the Group will exercise an option to purchase, the related right-of-use asset is depreciated over the useful life of the underlying asset. Amorti</w:t>
      </w:r>
      <w:r w:rsidR="007A2C89">
        <w:rPr>
          <w:lang w:val="sv-SE"/>
        </w:rPr>
        <w:t>z</w:t>
      </w:r>
      <w:r w:rsidRPr="0007235B">
        <w:rPr>
          <w:lang w:val="sv-SE"/>
        </w:rPr>
        <w:t>ation commences at the commencement date of the lease.</w:t>
      </w:r>
    </w:p>
    <w:p w14:paraId="048A0ED4" w14:textId="77777777" w:rsidR="002C72DE" w:rsidRPr="0007235B" w:rsidRDefault="002C72DE" w:rsidP="00330695">
      <w:pPr>
        <w:pStyle w:val="Brdtext"/>
        <w:spacing w:before="1" w:line="264" w:lineRule="auto"/>
        <w:ind w:left="118" w:right="286"/>
        <w:rPr>
          <w:lang w:val="sv-SE"/>
        </w:rPr>
      </w:pPr>
    </w:p>
    <w:p w14:paraId="3F679E14" w14:textId="7CEAD9AB" w:rsidR="002C72DE" w:rsidRPr="0007235B" w:rsidRDefault="002C72DE" w:rsidP="00330695">
      <w:pPr>
        <w:pStyle w:val="Brdtext"/>
        <w:spacing w:before="1" w:line="264" w:lineRule="auto"/>
        <w:ind w:left="118" w:right="286"/>
        <w:rPr>
          <w:lang w:val="sv-SE"/>
        </w:rPr>
      </w:pPr>
      <w:r w:rsidRPr="0007235B">
        <w:rPr>
          <w:lang w:val="sv-SE"/>
        </w:rPr>
        <w:t xml:space="preserve">Right-of-use assets are </w:t>
      </w:r>
      <w:r w:rsidR="00457D97" w:rsidRPr="0007235B">
        <w:rPr>
          <w:lang w:val="sv-SE"/>
        </w:rPr>
        <w:t>recognize</w:t>
      </w:r>
      <w:r w:rsidRPr="0007235B">
        <w:rPr>
          <w:lang w:val="sv-SE"/>
        </w:rPr>
        <w:t>d as a separate item in the consolidated statement of financial position.</w:t>
      </w:r>
    </w:p>
    <w:p w14:paraId="05282E8D" w14:textId="77777777" w:rsidR="002C72DE" w:rsidRPr="0007235B" w:rsidRDefault="002C72DE" w:rsidP="00330695">
      <w:pPr>
        <w:pStyle w:val="Brdtext"/>
        <w:spacing w:before="1" w:line="264" w:lineRule="auto"/>
        <w:ind w:left="118" w:right="286"/>
        <w:rPr>
          <w:lang w:val="sv-SE"/>
        </w:rPr>
      </w:pPr>
    </w:p>
    <w:p w14:paraId="718E7D0F" w14:textId="0E4A67A2" w:rsidR="002C72DE" w:rsidRPr="0007235B" w:rsidRDefault="002C72DE" w:rsidP="00330695">
      <w:pPr>
        <w:pStyle w:val="Brdtext"/>
        <w:spacing w:before="1" w:line="264" w:lineRule="auto"/>
        <w:ind w:left="118" w:right="286"/>
        <w:rPr>
          <w:lang w:val="sv-SE"/>
        </w:rPr>
      </w:pPr>
      <w:r w:rsidRPr="0007235B">
        <w:rPr>
          <w:lang w:val="sv-SE"/>
        </w:rPr>
        <w:t xml:space="preserve">The Group applies IAS 36 to determine whether the right-of-use asset is impaired and </w:t>
      </w:r>
      <w:r w:rsidR="00457D97" w:rsidRPr="0007235B">
        <w:rPr>
          <w:lang w:val="sv-SE"/>
        </w:rPr>
        <w:t>recognize</w:t>
      </w:r>
      <w:r w:rsidRPr="0007235B">
        <w:rPr>
          <w:lang w:val="sv-SE"/>
        </w:rPr>
        <w:t>s any identified impairment loss as described in the policy for ‘Property, plant and equipment’.</w:t>
      </w:r>
    </w:p>
    <w:p w14:paraId="02609E3E" w14:textId="77777777" w:rsidR="002C72DE" w:rsidRPr="0007235B" w:rsidRDefault="002C72DE" w:rsidP="00330695">
      <w:pPr>
        <w:pStyle w:val="Brdtext"/>
        <w:spacing w:before="1" w:line="264" w:lineRule="auto"/>
        <w:ind w:left="118" w:right="286"/>
        <w:rPr>
          <w:lang w:val="sv-SE"/>
        </w:rPr>
      </w:pPr>
    </w:p>
    <w:p w14:paraId="4FA35251" w14:textId="723FCE86" w:rsidR="002C72DE" w:rsidRPr="004665A3" w:rsidRDefault="002C72DE" w:rsidP="004665A3">
      <w:pPr>
        <w:pStyle w:val="Brdtext"/>
        <w:spacing w:line="264" w:lineRule="auto"/>
        <w:ind w:left="118" w:right="368"/>
        <w:rPr>
          <w:lang w:val="sv-SE"/>
        </w:rPr>
      </w:pPr>
      <w:r w:rsidRPr="004665A3">
        <w:rPr>
          <w:lang w:val="sv-SE"/>
        </w:rPr>
        <w:t xml:space="preserve">Variable lease payments that do not depend on an index or price shall not be included in the measurement of the lease liability or right-of-use asset. These attributable payments are </w:t>
      </w:r>
      <w:r w:rsidR="00457D97" w:rsidRPr="004665A3">
        <w:rPr>
          <w:lang w:val="sv-SE"/>
        </w:rPr>
        <w:t>recognize</w:t>
      </w:r>
      <w:r w:rsidRPr="004665A3">
        <w:rPr>
          <w:lang w:val="sv-SE"/>
        </w:rPr>
        <w:t>d as an expense in the period in which the event or condition giving rise to those payments occurs and are included in ‘Other operating expenses’ in the income statement.</w:t>
      </w:r>
    </w:p>
    <w:p w14:paraId="4799C432" w14:textId="77777777" w:rsidR="002C72DE" w:rsidRPr="00936613" w:rsidRDefault="002C72DE" w:rsidP="00B72046">
      <w:pPr>
        <w:pStyle w:val="Brdtext"/>
        <w:spacing w:before="107" w:line="264" w:lineRule="auto"/>
        <w:ind w:left="118" w:right="463"/>
      </w:pPr>
    </w:p>
    <w:p w14:paraId="710889AD" w14:textId="5EB324C8" w:rsidR="002C72DE" w:rsidRPr="00793FEB" w:rsidRDefault="002C72DE" w:rsidP="00330695">
      <w:pPr>
        <w:pStyle w:val="Brdtext"/>
        <w:spacing w:before="1" w:line="264" w:lineRule="auto"/>
        <w:ind w:left="118" w:right="286"/>
        <w:rPr>
          <w:lang w:val="sv-SE"/>
        </w:rPr>
      </w:pPr>
      <w:r w:rsidRPr="00793FEB">
        <w:rPr>
          <w:lang w:val="sv-SE"/>
        </w:rPr>
        <w:t xml:space="preserve">As a practical expedient, IFRS 16 allows non-lease components not to be separated from lease components, and instead to </w:t>
      </w:r>
      <w:r w:rsidR="00457D97" w:rsidRPr="00793FEB">
        <w:rPr>
          <w:lang w:val="sv-SE"/>
        </w:rPr>
        <w:t>recognize</w:t>
      </w:r>
      <w:r w:rsidRPr="00793FEB">
        <w:rPr>
          <w:lang w:val="sv-SE"/>
        </w:rPr>
        <w:t xml:space="preserve"> each lease component and all related non-lease components as a single lease component. The Group has chosen not to apply this practical expedient.</w:t>
      </w:r>
    </w:p>
    <w:p w14:paraId="7238DF56" w14:textId="77777777" w:rsidR="005E7BBD" w:rsidRDefault="005E7BBD">
      <w:pPr>
        <w:rPr>
          <w:sz w:val="18"/>
          <w:szCs w:val="18"/>
          <w:lang w:val="sv-SE"/>
        </w:rPr>
      </w:pPr>
      <w:r>
        <w:rPr>
          <w:lang w:val="sv-SE"/>
        </w:rPr>
        <w:br w:type="page"/>
      </w:r>
    </w:p>
    <w:p w14:paraId="041F6421" w14:textId="51923CF2" w:rsidR="002C72DE" w:rsidRPr="00B72046" w:rsidRDefault="002C72DE" w:rsidP="00B72046">
      <w:pPr>
        <w:pStyle w:val="Brdtext"/>
        <w:spacing w:before="107" w:line="264" w:lineRule="auto"/>
        <w:ind w:left="118" w:right="463"/>
        <w:rPr>
          <w:b/>
          <w:bCs/>
        </w:rPr>
      </w:pPr>
      <w:r w:rsidRPr="00B72046">
        <w:rPr>
          <w:b/>
          <w:bCs/>
        </w:rPr>
        <w:lastRenderedPageBreak/>
        <w:t>Impairment of property, plant and equipment and intangible assets excluding goodwill</w:t>
      </w:r>
    </w:p>
    <w:p w14:paraId="26DAC3CC" w14:textId="77777777" w:rsidR="00972F38" w:rsidRDefault="002C72DE" w:rsidP="0013536C">
      <w:pPr>
        <w:pStyle w:val="Brdtext"/>
        <w:spacing w:line="264" w:lineRule="auto"/>
        <w:ind w:left="118" w:right="368"/>
        <w:rPr>
          <w:lang w:val="sv-SE"/>
        </w:rPr>
      </w:pPr>
      <w:r w:rsidRPr="007F3113">
        <w:rPr>
          <w:lang w:val="sv-SE"/>
        </w:rPr>
        <w:t>At each balance sheet date, the Group analyses the carrying amounts of property, plant and equipment and intangible assets to determine whether there is any indication that those assets are impaired. If any such indication exists, the recoverable amount of the asset is calculated in order to determine the amount of impairment loss. Where it is not possible to calculate the recoverable amount of an individual asset, the Group calculates the recoverable amount of the cash-generating unit to which the asset belongs.</w:t>
      </w:r>
    </w:p>
    <w:p w14:paraId="6ABBCB28" w14:textId="77777777" w:rsidR="00972F38" w:rsidRDefault="00972F38" w:rsidP="0013536C">
      <w:pPr>
        <w:pStyle w:val="Brdtext"/>
        <w:spacing w:line="264" w:lineRule="auto"/>
        <w:ind w:left="118" w:right="368"/>
        <w:rPr>
          <w:lang w:val="sv-SE"/>
        </w:rPr>
      </w:pPr>
    </w:p>
    <w:p w14:paraId="5FF4EDEC" w14:textId="319636A9" w:rsidR="002C72DE" w:rsidRPr="007F3113" w:rsidRDefault="002C72DE" w:rsidP="0013536C">
      <w:pPr>
        <w:pStyle w:val="Brdtext"/>
        <w:spacing w:line="264" w:lineRule="auto"/>
        <w:ind w:left="118" w:right="368"/>
        <w:rPr>
          <w:lang w:val="sv-SE"/>
        </w:rPr>
      </w:pPr>
      <w:r w:rsidRPr="007F3113">
        <w:rPr>
          <w:lang w:val="sv-SE"/>
        </w:rPr>
        <w:t>Intangible assets with indefinite useful lives and intangible assets not yet available for use are tested annually for impairment or when there is an indication of impairment.</w:t>
      </w:r>
    </w:p>
    <w:p w14:paraId="52586720" w14:textId="77777777" w:rsidR="002C72DE" w:rsidRPr="007F3113" w:rsidRDefault="002C72DE" w:rsidP="0013536C">
      <w:pPr>
        <w:pStyle w:val="Brdtext"/>
        <w:spacing w:line="264" w:lineRule="auto"/>
        <w:ind w:left="118" w:right="368"/>
        <w:rPr>
          <w:lang w:val="sv-SE"/>
        </w:rPr>
      </w:pPr>
    </w:p>
    <w:p w14:paraId="24792226" w14:textId="344EABBD" w:rsidR="002C72DE" w:rsidRPr="007F3113" w:rsidRDefault="002C72DE" w:rsidP="0013536C">
      <w:pPr>
        <w:pStyle w:val="Brdtext"/>
        <w:spacing w:line="264" w:lineRule="auto"/>
        <w:ind w:left="118" w:right="368"/>
        <w:rPr>
          <w:lang w:val="sv-SE"/>
        </w:rPr>
      </w:pPr>
      <w:r w:rsidRPr="007F3113">
        <w:rPr>
          <w:lang w:val="sv-SE"/>
        </w:rPr>
        <w:t xml:space="preserve">The recoverable amount is the higher of an asset's fair value less costs to sell and its value in use. In calculating value in use, the estimated future cash flows are discounted to their present value using a pre-tax discount rate </w:t>
      </w:r>
      <w:r w:rsidR="00A44278">
        <w:rPr>
          <w:lang w:val="sv-SE"/>
        </w:rPr>
        <w:t>7</w:t>
      </w:r>
      <w:r w:rsidRPr="007F3113">
        <w:rPr>
          <w:lang w:val="sv-SE"/>
        </w:rPr>
        <w:t>that reflects current market assessments of the time value of money and the risks specific to the asset.</w:t>
      </w:r>
    </w:p>
    <w:p w14:paraId="561FD861" w14:textId="77777777" w:rsidR="002C72DE" w:rsidRPr="007F3113" w:rsidRDefault="002C72DE" w:rsidP="0013536C">
      <w:pPr>
        <w:pStyle w:val="Brdtext"/>
        <w:spacing w:line="264" w:lineRule="auto"/>
        <w:ind w:left="118" w:right="368"/>
        <w:rPr>
          <w:lang w:val="sv-SE"/>
        </w:rPr>
      </w:pPr>
    </w:p>
    <w:p w14:paraId="1EBCF382" w14:textId="51905435" w:rsidR="002C72DE" w:rsidRPr="007F3113" w:rsidRDefault="002C72DE" w:rsidP="0013536C">
      <w:pPr>
        <w:pStyle w:val="Brdtext"/>
        <w:spacing w:line="264" w:lineRule="auto"/>
        <w:ind w:left="118" w:right="368"/>
        <w:rPr>
          <w:lang w:val="sv-SE"/>
        </w:rPr>
      </w:pPr>
      <w:r w:rsidRPr="007F3113">
        <w:rPr>
          <w:lang w:val="sv-SE"/>
        </w:rPr>
        <w:t xml:space="preserve">If the recoverable amount of an asset (or cash-generating unit) is determined to be less than its carrying amount, the carrying amount of the asset (or cash-generating unit) is written down to its recoverable amount. An impairment loss is </w:t>
      </w:r>
      <w:r w:rsidR="00457D97" w:rsidRPr="007F3113">
        <w:rPr>
          <w:lang w:val="sv-SE"/>
        </w:rPr>
        <w:t>recognize</w:t>
      </w:r>
      <w:r w:rsidRPr="007F3113">
        <w:rPr>
          <w:lang w:val="sv-SE"/>
        </w:rPr>
        <w:t>d directly in the income statement.</w:t>
      </w:r>
    </w:p>
    <w:p w14:paraId="51D675C7" w14:textId="77777777" w:rsidR="002C72DE" w:rsidRPr="007F3113" w:rsidRDefault="002C72DE" w:rsidP="0013536C">
      <w:pPr>
        <w:pStyle w:val="Brdtext"/>
        <w:spacing w:line="264" w:lineRule="auto"/>
        <w:ind w:left="118" w:right="368"/>
        <w:rPr>
          <w:lang w:val="sv-SE"/>
        </w:rPr>
      </w:pPr>
    </w:p>
    <w:p w14:paraId="2B712BEF" w14:textId="2008E440" w:rsidR="002C72DE" w:rsidRPr="007F3113" w:rsidRDefault="002C72DE" w:rsidP="0013536C">
      <w:pPr>
        <w:pStyle w:val="Brdtext"/>
        <w:spacing w:line="264" w:lineRule="auto"/>
        <w:ind w:left="118" w:right="368"/>
        <w:rPr>
          <w:lang w:val="sv-SE"/>
        </w:rPr>
      </w:pPr>
      <w:r w:rsidRPr="007F3113">
        <w:rPr>
          <w:lang w:val="sv-SE"/>
        </w:rPr>
        <w:t xml:space="preserve">When an impairment loss is subsequently reversed, the carrying amount of the asset (cash-generating unit) is increased to its revalued recoverable amount, but the increased carrying amount shall not exceed the carrying amount that would have been determined had no impairment loss been </w:t>
      </w:r>
      <w:r w:rsidR="00457D97" w:rsidRPr="007F3113">
        <w:rPr>
          <w:lang w:val="sv-SE"/>
        </w:rPr>
        <w:t>recognize</w:t>
      </w:r>
      <w:r w:rsidRPr="007F3113">
        <w:rPr>
          <w:lang w:val="sv-SE"/>
        </w:rPr>
        <w:t xml:space="preserve">d for the asset (cash-generating unit) in prior years. A reversal of an impairment loss is </w:t>
      </w:r>
      <w:r w:rsidR="00457D97" w:rsidRPr="007F3113">
        <w:rPr>
          <w:lang w:val="sv-SE"/>
        </w:rPr>
        <w:t>recognize</w:t>
      </w:r>
      <w:r w:rsidRPr="007F3113">
        <w:rPr>
          <w:lang w:val="sv-SE"/>
        </w:rPr>
        <w:t>d directly in the income statement.</w:t>
      </w:r>
    </w:p>
    <w:p w14:paraId="2FAF4518" w14:textId="77777777" w:rsidR="002C72DE" w:rsidRPr="007F3113" w:rsidRDefault="002C72DE" w:rsidP="0013536C">
      <w:pPr>
        <w:pStyle w:val="Brdtext"/>
        <w:spacing w:line="264" w:lineRule="auto"/>
        <w:ind w:left="118" w:right="368"/>
        <w:rPr>
          <w:lang w:val="sv-SE"/>
        </w:rPr>
      </w:pPr>
    </w:p>
    <w:p w14:paraId="71FA7851" w14:textId="77777777" w:rsidR="002C72DE" w:rsidRPr="00B72046" w:rsidRDefault="002C72DE" w:rsidP="00B72046">
      <w:pPr>
        <w:pStyle w:val="Brdtext"/>
        <w:spacing w:before="107" w:line="264" w:lineRule="auto"/>
        <w:ind w:left="118" w:right="463"/>
        <w:rPr>
          <w:b/>
          <w:bCs/>
        </w:rPr>
      </w:pPr>
      <w:r w:rsidRPr="00B72046">
        <w:rPr>
          <w:b/>
          <w:bCs/>
        </w:rPr>
        <w:t>Financial instruments</w:t>
      </w:r>
    </w:p>
    <w:p w14:paraId="30E6AA05" w14:textId="77777777" w:rsidR="002C72DE" w:rsidRPr="00B72046" w:rsidRDefault="002C72DE" w:rsidP="00B72046">
      <w:pPr>
        <w:pStyle w:val="Brdtext"/>
        <w:spacing w:before="107" w:line="264" w:lineRule="auto"/>
        <w:ind w:left="118" w:right="463"/>
        <w:rPr>
          <w:i/>
          <w:iCs/>
        </w:rPr>
      </w:pPr>
      <w:r w:rsidRPr="00B72046">
        <w:rPr>
          <w:i/>
          <w:iCs/>
        </w:rPr>
        <w:t>Recognition and derecognition from the balance sheet</w:t>
      </w:r>
    </w:p>
    <w:p w14:paraId="1C155F8E" w14:textId="07B6239E" w:rsidR="002C72DE" w:rsidRPr="006A5CA7" w:rsidRDefault="002C72DE" w:rsidP="006A5CA7">
      <w:pPr>
        <w:pStyle w:val="Brdtext"/>
        <w:spacing w:before="100" w:line="264" w:lineRule="auto"/>
        <w:ind w:left="118" w:right="262"/>
        <w:rPr>
          <w:lang w:val="sv-SE"/>
        </w:rPr>
      </w:pPr>
      <w:r w:rsidRPr="006A5CA7">
        <w:rPr>
          <w:lang w:val="sv-SE"/>
        </w:rPr>
        <w:t xml:space="preserve">A financial asset or financial liability is </w:t>
      </w:r>
      <w:r w:rsidR="00457D97" w:rsidRPr="006A5CA7">
        <w:rPr>
          <w:lang w:val="sv-SE"/>
        </w:rPr>
        <w:t>recognize</w:t>
      </w:r>
      <w:r w:rsidRPr="006A5CA7">
        <w:rPr>
          <w:lang w:val="sv-SE"/>
        </w:rPr>
        <w:t xml:space="preserve">d in the balance sheet when the entity becomes a party to the contractual provisions of the instrument. A receivable is </w:t>
      </w:r>
      <w:r w:rsidR="00457D97" w:rsidRPr="006A5CA7">
        <w:rPr>
          <w:lang w:val="sv-SE"/>
        </w:rPr>
        <w:t>recognize</w:t>
      </w:r>
      <w:r w:rsidRPr="006A5CA7">
        <w:rPr>
          <w:lang w:val="sv-SE"/>
        </w:rPr>
        <w:t xml:space="preserve">d when the entity has performed and the counterparty has a contractual obligation to pay, even if an invoice has not yet been sent. Trade receivables are </w:t>
      </w:r>
      <w:r w:rsidR="00457D97" w:rsidRPr="006A5CA7">
        <w:rPr>
          <w:lang w:val="sv-SE"/>
        </w:rPr>
        <w:t>recognize</w:t>
      </w:r>
      <w:r w:rsidRPr="006A5CA7">
        <w:rPr>
          <w:lang w:val="sv-SE"/>
        </w:rPr>
        <w:t xml:space="preserve">d in the balance sheet when an invoice has been sent. Liabilities are </w:t>
      </w:r>
      <w:r w:rsidR="00457D97" w:rsidRPr="006A5CA7">
        <w:rPr>
          <w:lang w:val="sv-SE"/>
        </w:rPr>
        <w:t>recognize</w:t>
      </w:r>
      <w:r w:rsidRPr="006A5CA7">
        <w:rPr>
          <w:lang w:val="sv-SE"/>
        </w:rPr>
        <w:t xml:space="preserve">d when the counterparty has performed and there is a contractual obligation to pay, even if an invoice has not yet been received. Trade payables are </w:t>
      </w:r>
      <w:r w:rsidR="00457D97" w:rsidRPr="006A5CA7">
        <w:rPr>
          <w:lang w:val="sv-SE"/>
        </w:rPr>
        <w:t>recognize</w:t>
      </w:r>
      <w:r w:rsidRPr="006A5CA7">
        <w:rPr>
          <w:lang w:val="sv-SE"/>
        </w:rPr>
        <w:t>d when the invoice is received.</w:t>
      </w:r>
    </w:p>
    <w:p w14:paraId="7AFF86FA" w14:textId="77777777" w:rsidR="002C72DE" w:rsidRPr="006A5CA7" w:rsidRDefault="002C72DE" w:rsidP="006A5CA7">
      <w:pPr>
        <w:pStyle w:val="Brdtext"/>
        <w:spacing w:before="100" w:line="264" w:lineRule="auto"/>
        <w:ind w:left="118" w:right="262"/>
        <w:rPr>
          <w:lang w:val="sv-SE"/>
        </w:rPr>
      </w:pPr>
    </w:p>
    <w:p w14:paraId="37EA0E18" w14:textId="03D2FB09" w:rsidR="002C72DE" w:rsidRPr="00ED7837" w:rsidRDefault="002C72DE" w:rsidP="00ED7837">
      <w:pPr>
        <w:pStyle w:val="Brdtext"/>
        <w:spacing w:line="264" w:lineRule="auto"/>
        <w:ind w:left="118" w:right="321"/>
        <w:rPr>
          <w:lang w:val="sv-SE"/>
        </w:rPr>
      </w:pPr>
      <w:r w:rsidRPr="00ED7837">
        <w:rPr>
          <w:lang w:val="sv-SE"/>
        </w:rPr>
        <w:t>A financial asset is de</w:t>
      </w:r>
      <w:r w:rsidR="00457D97" w:rsidRPr="00ED7837">
        <w:rPr>
          <w:lang w:val="sv-SE"/>
        </w:rPr>
        <w:t>recognize</w:t>
      </w:r>
      <w:r w:rsidRPr="00ED7837">
        <w:rPr>
          <w:lang w:val="sv-SE"/>
        </w:rPr>
        <w:t>d when the contractual rights are reali</w:t>
      </w:r>
      <w:r w:rsidR="00CC67A5">
        <w:rPr>
          <w:lang w:val="sv-SE"/>
        </w:rPr>
        <w:t>z</w:t>
      </w:r>
      <w:r w:rsidRPr="00ED7837">
        <w:rPr>
          <w:lang w:val="sv-SE"/>
        </w:rPr>
        <w:t>ed, when the risks and rewards are transferred to another party, when the rights to the cash flows expire or when the entity loses control of the asset. The same applies to a portion of a financial asset. A financial liability is de</w:t>
      </w:r>
      <w:r w:rsidR="00457D97" w:rsidRPr="00ED7837">
        <w:rPr>
          <w:lang w:val="sv-SE"/>
        </w:rPr>
        <w:t>recognize</w:t>
      </w:r>
      <w:r w:rsidRPr="00ED7837">
        <w:rPr>
          <w:lang w:val="sv-SE"/>
        </w:rPr>
        <w:t xml:space="preserve">d when the contractual obligation is discharged or otherwise extinguished. The same applies to a portion of a financial liability. Acquisitions and disposals of financial assets are </w:t>
      </w:r>
      <w:r w:rsidR="00457D97" w:rsidRPr="00ED7837">
        <w:rPr>
          <w:lang w:val="sv-SE"/>
        </w:rPr>
        <w:t>recognize</w:t>
      </w:r>
      <w:r w:rsidRPr="00ED7837">
        <w:rPr>
          <w:lang w:val="sv-SE"/>
        </w:rPr>
        <w:t>d on the trade date. The trade date is the date on which the entity commits to acquire or dispose of the asset.</w:t>
      </w:r>
    </w:p>
    <w:p w14:paraId="292B9080" w14:textId="77777777" w:rsidR="002C72DE" w:rsidRPr="00ED7837" w:rsidRDefault="002C72DE" w:rsidP="00ED7837">
      <w:pPr>
        <w:pStyle w:val="Brdtext"/>
        <w:spacing w:line="264" w:lineRule="auto"/>
        <w:ind w:left="118" w:right="321"/>
        <w:rPr>
          <w:lang w:val="sv-SE"/>
        </w:rPr>
      </w:pPr>
    </w:p>
    <w:p w14:paraId="075359EB" w14:textId="77777777" w:rsidR="002C72DE" w:rsidRPr="00B72046" w:rsidRDefault="002C72DE" w:rsidP="00B72046">
      <w:pPr>
        <w:pStyle w:val="Brdtext"/>
        <w:spacing w:before="107" w:line="264" w:lineRule="auto"/>
        <w:ind w:left="118" w:right="463"/>
        <w:rPr>
          <w:i/>
          <w:iCs/>
        </w:rPr>
      </w:pPr>
      <w:r w:rsidRPr="00B72046">
        <w:rPr>
          <w:i/>
          <w:iCs/>
        </w:rPr>
        <w:t>Classification and measurement</w:t>
      </w:r>
    </w:p>
    <w:p w14:paraId="23AD3090" w14:textId="77777777" w:rsidR="002C72DE" w:rsidRPr="00C141D1" w:rsidRDefault="002C72DE" w:rsidP="00F11413">
      <w:pPr>
        <w:pStyle w:val="Brdtext"/>
        <w:spacing w:line="261" w:lineRule="auto"/>
        <w:ind w:left="118" w:right="301"/>
        <w:rPr>
          <w:lang w:val="sv-SE"/>
        </w:rPr>
      </w:pPr>
      <w:r w:rsidRPr="00C141D1">
        <w:rPr>
          <w:lang w:val="sv-SE"/>
        </w:rPr>
        <w:t>Financial assets are classified based on the business model in which the asset is managed and its cash flow characteristics.</w:t>
      </w:r>
    </w:p>
    <w:p w14:paraId="462CD3E3" w14:textId="77777777" w:rsidR="002C72DE" w:rsidRPr="00C141D1" w:rsidRDefault="002C72DE" w:rsidP="00F11413">
      <w:pPr>
        <w:pStyle w:val="Brdtext"/>
        <w:spacing w:line="261" w:lineRule="auto"/>
        <w:ind w:left="118" w:right="301"/>
        <w:rPr>
          <w:lang w:val="sv-SE"/>
        </w:rPr>
      </w:pPr>
    </w:p>
    <w:p w14:paraId="40C9818F" w14:textId="77777777" w:rsidR="002C72DE" w:rsidRPr="00C141D1" w:rsidRDefault="002C72DE" w:rsidP="00F11413">
      <w:pPr>
        <w:pStyle w:val="Brdtext"/>
        <w:spacing w:line="261" w:lineRule="auto"/>
        <w:ind w:left="118" w:right="301"/>
        <w:rPr>
          <w:lang w:val="sv-SE"/>
        </w:rPr>
      </w:pPr>
      <w:r w:rsidRPr="00C141D1">
        <w:rPr>
          <w:lang w:val="sv-SE"/>
        </w:rPr>
        <w:t>If the financial asset is held within the framework of a business model whose objective is to collect contractual cash flows and the contractual terms of the financial asset at specified times give rise to cash flows that are solely payments of principal and interest on the principal amount outstanding, the asset is reported at amortized cost. This business model is categorized as “hold to collect”.</w:t>
      </w:r>
    </w:p>
    <w:p w14:paraId="0D7C197A" w14:textId="77777777" w:rsidR="002C72DE" w:rsidRPr="00C141D1" w:rsidRDefault="002C72DE" w:rsidP="00F11413">
      <w:pPr>
        <w:pStyle w:val="Brdtext"/>
        <w:spacing w:line="261" w:lineRule="auto"/>
        <w:ind w:left="118" w:right="301"/>
        <w:rPr>
          <w:lang w:val="sv-SE"/>
        </w:rPr>
      </w:pPr>
    </w:p>
    <w:p w14:paraId="6CEA1E95" w14:textId="77777777" w:rsidR="002C72DE" w:rsidRPr="00F11413" w:rsidRDefault="002C72DE" w:rsidP="00F11413">
      <w:pPr>
        <w:pStyle w:val="Brdtext"/>
        <w:spacing w:line="264" w:lineRule="auto"/>
        <w:ind w:left="118" w:right="328"/>
        <w:rPr>
          <w:lang w:val="sv-SE"/>
        </w:rPr>
      </w:pPr>
      <w:r w:rsidRPr="00C141D1">
        <w:rPr>
          <w:lang w:val="sv-SE"/>
        </w:rPr>
        <w:t>If the financial asset is held within a business model whose objective can be achieved both by collecting contractual cash flows and by selling financial assets and the contractual terms of the financial asset at specified times give rise to cash flows that are solely payments of principal and interest on the principal amount</w:t>
      </w:r>
      <w:r w:rsidRPr="00F11413">
        <w:rPr>
          <w:lang w:val="sv-SE"/>
        </w:rPr>
        <w:t xml:space="preserve"> outstanding, the asset is reported at fair value through other comprehensive income. This business model is categorized as “hold to collect and sell”.</w:t>
      </w:r>
    </w:p>
    <w:p w14:paraId="77088BBF" w14:textId="77777777" w:rsidR="005D66CF" w:rsidRDefault="005D66CF">
      <w:pPr>
        <w:rPr>
          <w:sz w:val="18"/>
          <w:szCs w:val="18"/>
          <w:lang w:val="sv-SE"/>
        </w:rPr>
      </w:pPr>
      <w:r>
        <w:rPr>
          <w:lang w:val="sv-SE"/>
        </w:rPr>
        <w:br w:type="page"/>
      </w:r>
    </w:p>
    <w:p w14:paraId="6ED27513" w14:textId="701F2CDA" w:rsidR="002C72DE" w:rsidRDefault="002C72DE" w:rsidP="00223C98">
      <w:pPr>
        <w:pStyle w:val="Brdtext"/>
        <w:spacing w:line="264" w:lineRule="auto"/>
        <w:ind w:left="118" w:right="301"/>
        <w:rPr>
          <w:lang w:val="sv-SE"/>
        </w:rPr>
      </w:pPr>
      <w:r w:rsidRPr="00223C98">
        <w:rPr>
          <w:lang w:val="sv-SE"/>
        </w:rPr>
        <w:lastRenderedPageBreak/>
        <w:t>All other business models where the purpose is speculation, holding for trading or where the cash flow nature excludes other business models involve fair value through profit or loss. This business model is categorized as “other”.</w:t>
      </w:r>
    </w:p>
    <w:p w14:paraId="0739DF47" w14:textId="77777777" w:rsidR="00223C98" w:rsidRPr="00223C98" w:rsidRDefault="00223C98" w:rsidP="00223C98">
      <w:pPr>
        <w:pStyle w:val="Brdtext"/>
        <w:spacing w:line="264" w:lineRule="auto"/>
        <w:ind w:left="118" w:right="301"/>
        <w:rPr>
          <w:lang w:val="sv-SE"/>
        </w:rPr>
      </w:pPr>
    </w:p>
    <w:p w14:paraId="77D898DD" w14:textId="64E11228" w:rsidR="002C72DE" w:rsidRPr="00F10FDA" w:rsidRDefault="002C72DE" w:rsidP="00F10FDA">
      <w:pPr>
        <w:pStyle w:val="Brdtext"/>
        <w:spacing w:line="261" w:lineRule="auto"/>
        <w:ind w:left="118" w:right="301"/>
        <w:rPr>
          <w:lang w:val="sv-SE"/>
        </w:rPr>
      </w:pPr>
      <w:r w:rsidRPr="00F10FDA">
        <w:rPr>
          <w:lang w:val="sv-SE"/>
        </w:rPr>
        <w:t xml:space="preserve">The Group applies a business model for cash and cash equivalents, accounts receivable and other short-term receivables where the Group’s business model is “hold to collect”, which means that the assets are reported at </w:t>
      </w:r>
      <w:r w:rsidR="00CE2A41">
        <w:rPr>
          <w:lang w:val="sv-SE"/>
        </w:rPr>
        <w:t>acquisition</w:t>
      </w:r>
      <w:r w:rsidRPr="00F10FDA">
        <w:rPr>
          <w:lang w:val="sv-SE"/>
        </w:rPr>
        <w:t xml:space="preserve"> cost.</w:t>
      </w:r>
    </w:p>
    <w:p w14:paraId="4B6D52D1" w14:textId="77777777" w:rsidR="002C72DE" w:rsidRPr="00F10FDA" w:rsidRDefault="002C72DE" w:rsidP="00F10FDA">
      <w:pPr>
        <w:pStyle w:val="Brdtext"/>
        <w:spacing w:line="261" w:lineRule="auto"/>
        <w:ind w:left="118" w:right="301"/>
        <w:rPr>
          <w:lang w:val="sv-SE"/>
        </w:rPr>
      </w:pPr>
    </w:p>
    <w:p w14:paraId="3C0EF192" w14:textId="77777777" w:rsidR="002C72DE" w:rsidRPr="00F11413" w:rsidRDefault="002C72DE" w:rsidP="00F11413">
      <w:pPr>
        <w:pStyle w:val="Brdtext"/>
        <w:spacing w:line="261" w:lineRule="auto"/>
        <w:ind w:left="118" w:right="301"/>
        <w:rPr>
          <w:lang w:val="sv-SE"/>
        </w:rPr>
      </w:pPr>
      <w:r w:rsidRPr="00F11413">
        <w:rPr>
          <w:lang w:val="sv-SE"/>
        </w:rPr>
        <w:t>Financial liabilities are classified at fair value through profit or loss if they are a contingent consideration covered by IFRS 3 or if they are initially identified as a liability at fair value through profit or loss. Other financial liabilities are classified at amortized cost.</w:t>
      </w:r>
    </w:p>
    <w:p w14:paraId="2456391F" w14:textId="77777777" w:rsidR="002C72DE" w:rsidRPr="00F11413" w:rsidRDefault="002C72DE" w:rsidP="00F11413">
      <w:pPr>
        <w:pStyle w:val="Brdtext"/>
        <w:spacing w:line="261" w:lineRule="auto"/>
        <w:ind w:left="118" w:right="301"/>
        <w:rPr>
          <w:lang w:val="sv-SE"/>
        </w:rPr>
      </w:pPr>
    </w:p>
    <w:p w14:paraId="34BDB30D" w14:textId="1B5FDFC6" w:rsidR="002C72DE" w:rsidRPr="00F11413" w:rsidRDefault="002C72DE" w:rsidP="00F11413">
      <w:pPr>
        <w:pStyle w:val="Brdtext"/>
        <w:spacing w:line="261" w:lineRule="auto"/>
        <w:ind w:left="118" w:right="301"/>
        <w:rPr>
          <w:lang w:val="sv-SE"/>
        </w:rPr>
      </w:pPr>
      <w:r w:rsidRPr="00936613">
        <w:t xml:space="preserve">Accounts payable are measured at amortized cost. However, the expected maturity of the accounts payable is </w:t>
      </w:r>
      <w:r w:rsidRPr="00F11413">
        <w:rPr>
          <w:lang w:val="sv-SE"/>
        </w:rPr>
        <w:t>short, which is why the liability is reported at nominal amount without discounting. Interest-bearing bank loans, overdraft facilities and other loans are measured at amortized cost using the effective interest method.</w:t>
      </w:r>
      <w:r w:rsidR="00BD46D1">
        <w:rPr>
          <w:lang w:val="sv-SE"/>
        </w:rPr>
        <w:t xml:space="preserve"> </w:t>
      </w:r>
      <w:r w:rsidRPr="00936613">
        <w:t xml:space="preserve">Any differences between the loan amount received (net of transaction costs) and the repayment amount are </w:t>
      </w:r>
      <w:r w:rsidRPr="00F11413">
        <w:rPr>
          <w:lang w:val="sv-SE"/>
        </w:rPr>
        <w:t xml:space="preserve">reported over the term of the loans. Contingent consideration is classified and measured at fair value through profit </w:t>
      </w:r>
    </w:p>
    <w:p w14:paraId="6C8AC8B2" w14:textId="77777777" w:rsidR="002C72DE" w:rsidRPr="00F11413" w:rsidRDefault="002C72DE" w:rsidP="00F11413">
      <w:pPr>
        <w:pStyle w:val="Brdtext"/>
        <w:spacing w:line="261" w:lineRule="auto"/>
        <w:ind w:left="118" w:right="301"/>
        <w:rPr>
          <w:lang w:val="sv-SE"/>
        </w:rPr>
      </w:pPr>
    </w:p>
    <w:p w14:paraId="23423FBD" w14:textId="758A5FEB" w:rsidR="002C72DE" w:rsidRPr="00B72046" w:rsidRDefault="00845379" w:rsidP="00B72046">
      <w:pPr>
        <w:pStyle w:val="Brdtext"/>
        <w:spacing w:before="107" w:line="264" w:lineRule="auto"/>
        <w:ind w:left="118" w:right="463"/>
        <w:rPr>
          <w:i/>
          <w:iCs/>
        </w:rPr>
      </w:pPr>
      <w:r>
        <w:rPr>
          <w:i/>
          <w:iCs/>
        </w:rPr>
        <w:t>Acquis</w:t>
      </w:r>
      <w:r w:rsidR="00522BF1">
        <w:rPr>
          <w:i/>
          <w:iCs/>
        </w:rPr>
        <w:t>ition value</w:t>
      </w:r>
      <w:r w:rsidR="002C72DE" w:rsidRPr="00B72046">
        <w:rPr>
          <w:i/>
          <w:iCs/>
        </w:rPr>
        <w:t xml:space="preserve"> and the effective interest method</w:t>
      </w:r>
    </w:p>
    <w:p w14:paraId="3F93FEDE" w14:textId="4FBA5F08" w:rsidR="002C72DE" w:rsidRPr="00F11413" w:rsidRDefault="002C72DE" w:rsidP="00F11413">
      <w:pPr>
        <w:pStyle w:val="Brdtext"/>
        <w:spacing w:line="261" w:lineRule="auto"/>
        <w:ind w:left="118" w:right="301"/>
        <w:rPr>
          <w:lang w:val="sv-SE"/>
        </w:rPr>
      </w:pPr>
      <w:r w:rsidRPr="00936613">
        <w:t xml:space="preserve">The </w:t>
      </w:r>
      <w:r w:rsidR="00522BF1">
        <w:t>acquisition value</w:t>
      </w:r>
      <w:r w:rsidRPr="00936613">
        <w:t xml:space="preserve"> of a financial asset is the amount at which the financial asset is initially </w:t>
      </w:r>
      <w:r w:rsidR="00457D97">
        <w:t>recognize</w:t>
      </w:r>
      <w:r w:rsidRPr="00936613">
        <w:t xml:space="preserve">d less the principal amount, plus the accumulated </w:t>
      </w:r>
      <w:r w:rsidR="00983BA3">
        <w:t>amortiz</w:t>
      </w:r>
      <w:r w:rsidRPr="00936613">
        <w:t xml:space="preserve">ation using the effective interest method of any difference between that principal amount and the principal amount outstanding, adjusted for any impairment losses. The </w:t>
      </w:r>
      <w:r w:rsidRPr="00F11413">
        <w:rPr>
          <w:lang w:val="sv-SE"/>
        </w:rPr>
        <w:t xml:space="preserve">gross carrying amount of a financial asset is the </w:t>
      </w:r>
      <w:r w:rsidR="00C83C5E">
        <w:rPr>
          <w:lang w:val="sv-SE"/>
        </w:rPr>
        <w:t>acquisition value</w:t>
      </w:r>
      <w:r w:rsidRPr="00F11413">
        <w:rPr>
          <w:lang w:val="sv-SE"/>
        </w:rPr>
        <w:t xml:space="preserve"> of a financial asset before adjustments for any loss allowance. Financial liabilities are measured at </w:t>
      </w:r>
      <w:r w:rsidR="00C83C5E">
        <w:rPr>
          <w:lang w:val="sv-SE"/>
        </w:rPr>
        <w:t>acqu</w:t>
      </w:r>
      <w:r w:rsidR="006829E0">
        <w:rPr>
          <w:lang w:val="sv-SE"/>
        </w:rPr>
        <w:t>isition value</w:t>
      </w:r>
      <w:r w:rsidRPr="00F11413">
        <w:rPr>
          <w:lang w:val="sv-SE"/>
        </w:rPr>
        <w:t xml:space="preserve"> using the effective interest method or at fair value through profit or loss.</w:t>
      </w:r>
    </w:p>
    <w:p w14:paraId="2BA54FE2" w14:textId="77777777" w:rsidR="002C72DE" w:rsidRPr="00F11413" w:rsidRDefault="002C72DE" w:rsidP="00F11413">
      <w:pPr>
        <w:pStyle w:val="Brdtext"/>
        <w:spacing w:line="261" w:lineRule="auto"/>
        <w:ind w:left="118" w:right="301"/>
        <w:rPr>
          <w:lang w:val="sv-SE"/>
        </w:rPr>
      </w:pPr>
    </w:p>
    <w:p w14:paraId="7FF664A5" w14:textId="77777777" w:rsidR="002C72DE" w:rsidRPr="00F11413" w:rsidRDefault="002C72DE" w:rsidP="00F11413">
      <w:pPr>
        <w:pStyle w:val="Brdtext"/>
        <w:spacing w:line="261" w:lineRule="auto"/>
        <w:ind w:left="118" w:right="301"/>
        <w:rPr>
          <w:lang w:val="sv-SE"/>
        </w:rPr>
      </w:pPr>
      <w:r w:rsidRPr="00F11413">
        <w:rPr>
          <w:lang w:val="sv-SE"/>
        </w:rPr>
        <w:t>The effective interest rate is the rate that, when all future expected cash flows are discounted through their expected life, results in the initial carrying amount of the financial asset or financial liability.</w:t>
      </w:r>
    </w:p>
    <w:p w14:paraId="2A7FFC16" w14:textId="77777777" w:rsidR="002C72DE" w:rsidRPr="00F11413" w:rsidRDefault="002C72DE" w:rsidP="00F11413">
      <w:pPr>
        <w:pStyle w:val="Brdtext"/>
        <w:spacing w:line="261" w:lineRule="auto"/>
        <w:ind w:left="118" w:right="301"/>
        <w:rPr>
          <w:lang w:val="sv-SE"/>
        </w:rPr>
      </w:pPr>
    </w:p>
    <w:p w14:paraId="0AF6B26F" w14:textId="77777777" w:rsidR="002C72DE" w:rsidRPr="00B72046" w:rsidRDefault="002C72DE" w:rsidP="00B72046">
      <w:pPr>
        <w:pStyle w:val="Brdtext"/>
        <w:spacing w:before="107" w:line="264" w:lineRule="auto"/>
        <w:ind w:left="118" w:right="463"/>
        <w:rPr>
          <w:i/>
          <w:iCs/>
        </w:rPr>
      </w:pPr>
      <w:r w:rsidRPr="00B72046">
        <w:rPr>
          <w:i/>
          <w:iCs/>
        </w:rPr>
        <w:t>Offsetting of financial assets and liabilities</w:t>
      </w:r>
    </w:p>
    <w:p w14:paraId="35280904" w14:textId="77777777" w:rsidR="002C72DE" w:rsidRPr="00F11413" w:rsidRDefault="002C72DE" w:rsidP="00F11413">
      <w:pPr>
        <w:pStyle w:val="Brdtext"/>
        <w:spacing w:line="261" w:lineRule="auto"/>
        <w:ind w:left="118" w:right="301"/>
        <w:rPr>
          <w:lang w:val="sv-SE"/>
        </w:rPr>
      </w:pPr>
      <w:r w:rsidRPr="00F11413">
        <w:rPr>
          <w:lang w:val="sv-SE"/>
        </w:rPr>
        <w:t>Financial assets and liabilities are offset and reported at a net amount in the balance sheet when there is a legal right to offset and when there is an intention to settle the items at a net amount or to simultaneously realize the asset and settle the liability.</w:t>
      </w:r>
    </w:p>
    <w:p w14:paraId="5BEEBD3C" w14:textId="77777777" w:rsidR="002C72DE" w:rsidRPr="00F11413" w:rsidRDefault="002C72DE" w:rsidP="00F11413">
      <w:pPr>
        <w:pStyle w:val="Brdtext"/>
        <w:spacing w:line="261" w:lineRule="auto"/>
        <w:ind w:left="118" w:right="301"/>
        <w:rPr>
          <w:lang w:val="sv-SE"/>
        </w:rPr>
      </w:pPr>
    </w:p>
    <w:p w14:paraId="70DE9E61" w14:textId="77777777" w:rsidR="002C72DE" w:rsidRPr="00B72046" w:rsidRDefault="002C72DE" w:rsidP="00B72046">
      <w:pPr>
        <w:pStyle w:val="Brdtext"/>
        <w:spacing w:before="107" w:line="264" w:lineRule="auto"/>
        <w:ind w:left="118" w:right="463"/>
        <w:rPr>
          <w:i/>
          <w:iCs/>
        </w:rPr>
      </w:pPr>
      <w:r w:rsidRPr="00B72046">
        <w:rPr>
          <w:i/>
          <w:iCs/>
        </w:rPr>
        <w:t>Impairment</w:t>
      </w:r>
    </w:p>
    <w:p w14:paraId="276EEB8C" w14:textId="505F1F98" w:rsidR="002C72DE" w:rsidRPr="00F11413" w:rsidRDefault="002C72DE" w:rsidP="00F11413">
      <w:pPr>
        <w:pStyle w:val="Brdtext"/>
        <w:spacing w:line="261" w:lineRule="auto"/>
        <w:ind w:left="118" w:right="301"/>
        <w:rPr>
          <w:lang w:val="sv-SE"/>
        </w:rPr>
      </w:pPr>
      <w:r w:rsidRPr="00F11413">
        <w:rPr>
          <w:lang w:val="sv-SE"/>
        </w:rPr>
        <w:t xml:space="preserve">The Group recognizes a loss reserve for expected credit losses on financial assets that are valued at </w:t>
      </w:r>
      <w:r w:rsidR="00735D61">
        <w:rPr>
          <w:lang w:val="sv-SE"/>
        </w:rPr>
        <w:t>acquisition value</w:t>
      </w:r>
      <w:r w:rsidRPr="00F11413">
        <w:rPr>
          <w:lang w:val="sv-SE"/>
        </w:rPr>
        <w:t xml:space="preserve"> for accounts receivable. Equity instruments are not subject to the impairment rules. As of each balance sheet date, the change in expected credit losses since the first recognition is recognized in profit or loss.</w:t>
      </w:r>
    </w:p>
    <w:p w14:paraId="654F1A85" w14:textId="77777777" w:rsidR="002C72DE" w:rsidRPr="00F11413" w:rsidRDefault="002C72DE" w:rsidP="00F11413">
      <w:pPr>
        <w:pStyle w:val="Brdtext"/>
        <w:spacing w:line="261" w:lineRule="auto"/>
        <w:ind w:left="118" w:right="301"/>
        <w:rPr>
          <w:lang w:val="sv-SE"/>
        </w:rPr>
      </w:pPr>
    </w:p>
    <w:p w14:paraId="26B95728" w14:textId="77777777" w:rsidR="002C72DE" w:rsidRPr="0010487F" w:rsidRDefault="002C72DE" w:rsidP="0010487F">
      <w:pPr>
        <w:pStyle w:val="Brdtext"/>
        <w:spacing w:line="261" w:lineRule="auto"/>
        <w:ind w:left="118" w:right="301"/>
        <w:rPr>
          <w:lang w:val="sv-SE"/>
        </w:rPr>
      </w:pPr>
      <w:r w:rsidRPr="00936613">
        <w:t xml:space="preserve">The purpose of the impairment requirements is to recognize the expected credit losses for 12 months for all financial assets and for the remaining maturity for all financial assets for which there has been a significant increase in credit risk since the first recognition, either assessed individually or collectively and taking into account all reasonable and verifiable information, including forward-looking information. The Group values expected credit losses from a financial instrument in a manner that reflects an objective and probability-weighted amount determined by evaluating a range of possible outcomes, the time value of money and reasonable </w:t>
      </w:r>
      <w:r w:rsidRPr="0010487F">
        <w:rPr>
          <w:lang w:val="sv-SE"/>
        </w:rPr>
        <w:t>verifiable information about current conditions and forecasts of future economic conditions.</w:t>
      </w:r>
    </w:p>
    <w:p w14:paraId="1D73C669" w14:textId="77777777" w:rsidR="0010487F" w:rsidRPr="0010487F" w:rsidRDefault="0010487F" w:rsidP="0010487F">
      <w:pPr>
        <w:pStyle w:val="Brdtext"/>
        <w:spacing w:line="261" w:lineRule="auto"/>
        <w:ind w:left="118" w:right="301"/>
        <w:rPr>
          <w:lang w:val="sv-SE"/>
        </w:rPr>
      </w:pPr>
    </w:p>
    <w:p w14:paraId="62187527" w14:textId="77777777" w:rsidR="002C72DE" w:rsidRPr="0010487F" w:rsidRDefault="002C72DE" w:rsidP="0010487F">
      <w:pPr>
        <w:pStyle w:val="Brdtext"/>
        <w:spacing w:line="261" w:lineRule="auto"/>
        <w:ind w:left="118" w:right="301"/>
        <w:rPr>
          <w:lang w:val="sv-SE"/>
        </w:rPr>
      </w:pPr>
      <w:r w:rsidRPr="0010487F">
        <w:rPr>
          <w:lang w:val="sv-SE"/>
        </w:rPr>
        <w:t>For cash and cash equivalents with a maturity of less than 12 months, the general model is applied with the assumption of low credit risk.</w:t>
      </w:r>
    </w:p>
    <w:p w14:paraId="5F5350D4" w14:textId="77777777" w:rsidR="002C72DE" w:rsidRPr="0010487F" w:rsidRDefault="002C72DE" w:rsidP="0010487F">
      <w:pPr>
        <w:pStyle w:val="Brdtext"/>
        <w:spacing w:line="261" w:lineRule="auto"/>
        <w:ind w:left="118" w:right="301"/>
        <w:rPr>
          <w:lang w:val="sv-SE"/>
        </w:rPr>
      </w:pPr>
    </w:p>
    <w:p w14:paraId="1A50B1EE" w14:textId="77777777" w:rsidR="002C72DE" w:rsidRPr="0010487F" w:rsidRDefault="002C72DE" w:rsidP="0010487F">
      <w:pPr>
        <w:pStyle w:val="Brdtext"/>
        <w:spacing w:line="261" w:lineRule="auto"/>
        <w:ind w:left="118" w:right="301"/>
        <w:rPr>
          <w:lang w:val="sv-SE"/>
        </w:rPr>
      </w:pPr>
      <w:r w:rsidRPr="00936613">
        <w:t xml:space="preserve">For accounts receivable, contract assets and lease receivables, there is a simplified model that means that the Group must directly recognize expected credit losses for the remaining term of the asset. The Group applies the simplified model for accounts receivable where historical credit loss constitutes an indicator that is adjusted for current and forward-looking factors. The expected credit losses for accounts receivable are based on past events, </w:t>
      </w:r>
      <w:r w:rsidRPr="0010487F">
        <w:rPr>
          <w:lang w:val="sv-SE"/>
        </w:rPr>
        <w:t>current conditions and forecasts for future economic conditions and the time value of money if applicable.</w:t>
      </w:r>
    </w:p>
    <w:p w14:paraId="24C6B3EE" w14:textId="77777777" w:rsidR="002C72DE" w:rsidRPr="0010487F" w:rsidRDefault="002C72DE" w:rsidP="0010487F">
      <w:pPr>
        <w:pStyle w:val="Brdtext"/>
        <w:spacing w:line="261" w:lineRule="auto"/>
        <w:ind w:left="118" w:right="301"/>
        <w:rPr>
          <w:lang w:val="sv-SE"/>
        </w:rPr>
      </w:pPr>
    </w:p>
    <w:p w14:paraId="75F17B56" w14:textId="77777777" w:rsidR="002C72DE" w:rsidRPr="0010487F" w:rsidRDefault="002C72DE" w:rsidP="0010487F">
      <w:pPr>
        <w:pStyle w:val="Brdtext"/>
        <w:spacing w:line="261" w:lineRule="auto"/>
        <w:ind w:left="118" w:right="301"/>
        <w:rPr>
          <w:lang w:val="sv-SE"/>
        </w:rPr>
      </w:pPr>
      <w:r w:rsidRPr="00936613">
        <w:t xml:space="preserve">Impairment of accounts receivable and other receivables is recognized in operating expenses. Impairment of </w:t>
      </w:r>
      <w:r w:rsidRPr="0010487F">
        <w:rPr>
          <w:lang w:val="sv-SE"/>
        </w:rPr>
        <w:t>cash and cash equivalents is recognized as a financial expense and forecasts for future economic conditions</w:t>
      </w:r>
    </w:p>
    <w:p w14:paraId="4C159631" w14:textId="2FD9258A" w:rsidR="0010487F" w:rsidRDefault="0010487F">
      <w:pPr>
        <w:rPr>
          <w:sz w:val="18"/>
          <w:szCs w:val="18"/>
          <w:lang w:val="sv-SE"/>
        </w:rPr>
      </w:pPr>
      <w:r>
        <w:rPr>
          <w:lang w:val="sv-SE"/>
        </w:rPr>
        <w:br w:type="page"/>
      </w:r>
    </w:p>
    <w:p w14:paraId="732FAAB1" w14:textId="77777777" w:rsidR="002C72DE" w:rsidRPr="00B72046" w:rsidRDefault="002C72DE" w:rsidP="00B72046">
      <w:pPr>
        <w:pStyle w:val="Brdtext"/>
        <w:spacing w:before="107" w:line="264" w:lineRule="auto"/>
        <w:ind w:left="118" w:right="463"/>
        <w:rPr>
          <w:b/>
          <w:bCs/>
        </w:rPr>
      </w:pPr>
      <w:r w:rsidRPr="00B72046">
        <w:rPr>
          <w:b/>
          <w:bCs/>
        </w:rPr>
        <w:lastRenderedPageBreak/>
        <w:t>Inventories</w:t>
      </w:r>
    </w:p>
    <w:p w14:paraId="06B440CA" w14:textId="77777777" w:rsidR="002C72DE" w:rsidRPr="006D6109" w:rsidRDefault="002C72DE" w:rsidP="006D6109">
      <w:pPr>
        <w:pStyle w:val="Brdtext"/>
        <w:spacing w:line="261" w:lineRule="auto"/>
        <w:ind w:left="118" w:right="301"/>
        <w:rPr>
          <w:lang w:val="sv-SE"/>
        </w:rPr>
      </w:pPr>
      <w:r w:rsidRPr="00936613">
        <w:t xml:space="preserve">Inventories are valued at the lower of cost and net realizable value. Cost is calculated using the first-in, first-out (FIFO) method. Net realizable value is the estimated selling price less estimated costs of completion and </w:t>
      </w:r>
      <w:r w:rsidRPr="006D6109">
        <w:rPr>
          <w:lang w:val="sv-SE"/>
        </w:rPr>
        <w:t>estimated costs necessary to make the sale.</w:t>
      </w:r>
    </w:p>
    <w:p w14:paraId="4C263BDB" w14:textId="77777777" w:rsidR="002C72DE" w:rsidRPr="006D6109" w:rsidRDefault="002C72DE" w:rsidP="006D6109">
      <w:pPr>
        <w:pStyle w:val="Brdtext"/>
        <w:spacing w:line="261" w:lineRule="auto"/>
        <w:ind w:left="118" w:right="301"/>
        <w:rPr>
          <w:lang w:val="sv-SE"/>
        </w:rPr>
      </w:pPr>
    </w:p>
    <w:p w14:paraId="71D31C6B" w14:textId="77777777" w:rsidR="002C72DE" w:rsidRPr="00B72046" w:rsidRDefault="002C72DE" w:rsidP="00B72046">
      <w:pPr>
        <w:pStyle w:val="Brdtext"/>
        <w:spacing w:before="107" w:line="264" w:lineRule="auto"/>
        <w:ind w:left="118" w:right="463"/>
        <w:rPr>
          <w:b/>
          <w:bCs/>
        </w:rPr>
      </w:pPr>
      <w:r w:rsidRPr="00B72046">
        <w:rPr>
          <w:b/>
          <w:bCs/>
        </w:rPr>
        <w:t>Segment reporting</w:t>
      </w:r>
    </w:p>
    <w:p w14:paraId="4AF6293C" w14:textId="6DA7C47C" w:rsidR="002C72DE" w:rsidRPr="00BD54A2" w:rsidRDefault="002C72DE" w:rsidP="00B72046">
      <w:pPr>
        <w:pStyle w:val="Brdtext"/>
        <w:spacing w:before="107" w:line="264" w:lineRule="auto"/>
        <w:ind w:left="118" w:right="463"/>
      </w:pPr>
      <w:r w:rsidRPr="00936613">
        <w:t xml:space="preserve">Segment information shall be presented from the perspective of management and operating segments shall be identified based on internal reporting to the Group’s CEO, who is also the Group’s chief operating decision maker. The internal reporting used by the CEO to monitor operations and make decisions on resource allocation presents the Group’s performance, down to site EBITDA level, divided into three segments – the Nordics, Iberia and central functions, which thus constitute the segments identified by JumpYard. Other financial information is </w:t>
      </w:r>
      <w:r w:rsidRPr="00BD54A2">
        <w:t>presented for the Group as a whole</w:t>
      </w:r>
      <w:r w:rsidR="00055219">
        <w:t xml:space="preserve">. </w:t>
      </w:r>
      <w:r w:rsidR="00B01628" w:rsidRPr="00B01628">
        <w:t>In accordance with IFRS 8 Operating Segments, information on revenue by geographic market and service is provided</w:t>
      </w:r>
      <w:r w:rsidR="00B01628">
        <w:t xml:space="preserve"> </w:t>
      </w:r>
      <w:r w:rsidR="00B01628" w:rsidRPr="00B01628">
        <w:t xml:space="preserve">in </w:t>
      </w:r>
      <w:r w:rsidR="00B01628">
        <w:t>n</w:t>
      </w:r>
      <w:r w:rsidR="00B01628" w:rsidRPr="00B01628">
        <w:t>ote 7</w:t>
      </w:r>
      <w:r w:rsidRPr="00BD54A2">
        <w:t>.</w:t>
      </w:r>
    </w:p>
    <w:p w14:paraId="3C64F673" w14:textId="77777777" w:rsidR="00987DAC" w:rsidRPr="00BD54A2" w:rsidRDefault="00987DAC">
      <w:pPr>
        <w:pStyle w:val="Brdtext"/>
        <w:spacing w:before="102"/>
      </w:pPr>
    </w:p>
    <w:p w14:paraId="3C64F674" w14:textId="1B3B7E39" w:rsidR="00987DAC" w:rsidRPr="00BD54A2" w:rsidRDefault="00016B4C">
      <w:pPr>
        <w:pStyle w:val="Rubrik5"/>
      </w:pPr>
      <w:r w:rsidRPr="00BD54A2">
        <w:t>Note</w:t>
      </w:r>
      <w:r w:rsidRPr="00BD54A2">
        <w:rPr>
          <w:spacing w:val="-4"/>
        </w:rPr>
        <w:t xml:space="preserve"> </w:t>
      </w:r>
      <w:r w:rsidRPr="00BD54A2">
        <w:t>3</w:t>
      </w:r>
      <w:r w:rsidRPr="00BD54A2">
        <w:rPr>
          <w:spacing w:val="-2"/>
        </w:rPr>
        <w:t xml:space="preserve"> </w:t>
      </w:r>
      <w:r w:rsidR="007668A0" w:rsidRPr="00BD54A2">
        <w:t xml:space="preserve">Transition </w:t>
      </w:r>
      <w:r w:rsidR="009C246A">
        <w:t xml:space="preserve">of accounting principles from K3 </w:t>
      </w:r>
      <w:r w:rsidR="007668A0" w:rsidRPr="00BD54A2">
        <w:t>to IFRS</w:t>
      </w:r>
    </w:p>
    <w:p w14:paraId="455A34CF" w14:textId="77777777" w:rsidR="00C03456" w:rsidRPr="00BD54A2" w:rsidRDefault="00C03456">
      <w:pPr>
        <w:pStyle w:val="Rubrik5"/>
        <w:rPr>
          <w:sz w:val="18"/>
          <w:szCs w:val="18"/>
        </w:rPr>
      </w:pPr>
    </w:p>
    <w:p w14:paraId="33CE7169" w14:textId="77777777" w:rsidR="00B25461" w:rsidRPr="00E51854" w:rsidRDefault="00B25461" w:rsidP="00B25461">
      <w:pPr>
        <w:pStyle w:val="Brdtext"/>
        <w:spacing w:before="107" w:line="264" w:lineRule="auto"/>
        <w:ind w:left="118" w:right="463"/>
      </w:pPr>
      <w:r w:rsidRPr="00BD54A2">
        <w:t xml:space="preserve">These consolidated financial statements are the first consolidated financial statements that JY Holding AB (publ.) has prepared in accordance with IFRS. Previously, the consolidated financial statements were prepared in </w:t>
      </w:r>
      <w:r w:rsidRPr="00E51854">
        <w:t>accordance with BFNAR 2012:1 Annual Report and Consolidated Financial Statements (K3) and the Annual Accounts Act.</w:t>
      </w:r>
    </w:p>
    <w:p w14:paraId="11E1A695" w14:textId="77777777" w:rsidR="00B25461" w:rsidRPr="00E51854" w:rsidRDefault="00B25461" w:rsidP="00B25461">
      <w:pPr>
        <w:pStyle w:val="Brdtext"/>
        <w:spacing w:before="107" w:line="264" w:lineRule="auto"/>
        <w:ind w:left="118" w:right="463"/>
      </w:pPr>
      <w:r w:rsidRPr="00E51854">
        <w:t>The date for transition to IFRS has been set at 1 January 2023. In order to achieve an opening balance sheet in accordance with IFRS as of this date, JY Holding AB (publ.) has prepared consolidated financial statements with retrospective application as of 1 January 2023. The consolidated financial statements have been prepared based on the accounting principles of each subsidiary adjusted for intragroup transactions and customary group adjustments for holdings in subsidiaries. IFRS adjustments have been reported thereafter.</w:t>
      </w:r>
    </w:p>
    <w:p w14:paraId="18C06904" w14:textId="77777777" w:rsidR="00B25461" w:rsidRPr="00E51854" w:rsidRDefault="00B25461" w:rsidP="00B25461">
      <w:pPr>
        <w:pStyle w:val="Brdtext"/>
        <w:spacing w:before="107" w:line="264" w:lineRule="auto"/>
        <w:ind w:left="118" w:right="463"/>
      </w:pPr>
      <w:r w:rsidRPr="00E51854">
        <w:t>The provisions of IFRS 1 First-time Adoption of IFRS contain a number of discretionary and mandatory exceptions to this general rule. A description of how the Group has applied these exceptions, including a description of the preparation of consolidated financial statements for the first time, which are described below.</w:t>
      </w:r>
    </w:p>
    <w:p w14:paraId="28896B7D" w14:textId="77777777" w:rsidR="00B25461" w:rsidRDefault="00B25461" w:rsidP="00B25461">
      <w:pPr>
        <w:pStyle w:val="Brdtext"/>
        <w:spacing w:before="107" w:line="264" w:lineRule="auto"/>
        <w:ind w:left="118" w:right="463"/>
        <w:rPr>
          <w:i/>
          <w:iCs/>
        </w:rPr>
      </w:pPr>
      <w:r w:rsidRPr="00BD54A2">
        <w:rPr>
          <w:i/>
          <w:iCs/>
        </w:rPr>
        <w:t>Leases (IFRS16)</w:t>
      </w:r>
    </w:p>
    <w:p w14:paraId="11C553C7" w14:textId="77777777" w:rsidR="006937F1" w:rsidRPr="00DE2425" w:rsidRDefault="006937F1" w:rsidP="00DE2425">
      <w:pPr>
        <w:pStyle w:val="Rubrik7"/>
        <w:rPr>
          <w:i w:val="0"/>
          <w:iCs w:val="0"/>
          <w:sz w:val="18"/>
          <w:szCs w:val="18"/>
          <w:lang w:val="sv-SE"/>
        </w:rPr>
      </w:pPr>
    </w:p>
    <w:p w14:paraId="3B7FC89A" w14:textId="77777777" w:rsidR="00BD54A2" w:rsidRPr="00DE2425" w:rsidRDefault="00B25461" w:rsidP="00DE2425">
      <w:pPr>
        <w:pStyle w:val="Rubrik7"/>
        <w:rPr>
          <w:i w:val="0"/>
          <w:iCs w:val="0"/>
          <w:sz w:val="18"/>
          <w:szCs w:val="18"/>
          <w:lang w:val="sv-SE"/>
        </w:rPr>
      </w:pPr>
      <w:r w:rsidRPr="00DE2425">
        <w:rPr>
          <w:i w:val="0"/>
          <w:iCs w:val="0"/>
          <w:sz w:val="18"/>
          <w:szCs w:val="18"/>
          <w:lang w:val="sv-SE"/>
        </w:rPr>
        <w:t>The Group has chosen to apply the transition rules set out below at the date of transition:</w:t>
      </w:r>
    </w:p>
    <w:p w14:paraId="2BAC3AAB" w14:textId="77777777" w:rsidR="00302F7C"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Assess whether an existing agreement as of 1 January 2023 constitutes a lease based on the facts and circumstances that applied at that date</w:t>
      </w:r>
    </w:p>
    <w:p w14:paraId="7A8B77E0" w14:textId="77777777" w:rsidR="00302F7C"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Measure the lease liability at the present value of the remaining lease payments, discounted at the incremental borrowing rate at the date of transition to IFRS</w:t>
      </w:r>
    </w:p>
    <w:p w14:paraId="4DB4C4DB" w14:textId="77777777" w:rsidR="00302F7C"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Measure the right-of-use asset at an amount equal to the lease liability, adjusted for any prepaid or accrued lease payments that have been made related to the lease in question</w:t>
      </w:r>
    </w:p>
    <w:p w14:paraId="42ADA3E7" w14:textId="77777777" w:rsidR="00302F7C"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Apply IAS 36 to right-of-use assets at the date of transition to IFRS</w:t>
      </w:r>
    </w:p>
    <w:p w14:paraId="4AD1A45B" w14:textId="77777777" w:rsidR="00302F7C"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Apply a discount rate to a portfolio of leases with broadly similar characteristics</w:t>
      </w:r>
    </w:p>
    <w:p w14:paraId="24441845" w14:textId="44FBB580" w:rsidR="00302F7C"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 xml:space="preserve">Exclude leases for which the underlying asset is of low value as well as leases with short terms in the </w:t>
      </w:r>
      <w:r w:rsidR="00457D97" w:rsidRPr="0012404A">
        <w:rPr>
          <w:sz w:val="18"/>
          <w:szCs w:val="18"/>
          <w:lang w:val="sv-SE"/>
        </w:rPr>
        <w:t>recognize</w:t>
      </w:r>
      <w:r w:rsidRPr="0012404A">
        <w:rPr>
          <w:sz w:val="18"/>
          <w:szCs w:val="18"/>
          <w:lang w:val="sv-SE"/>
        </w:rPr>
        <w:t>d lease liability</w:t>
      </w:r>
    </w:p>
    <w:p w14:paraId="267158B2" w14:textId="1C41D2E3" w:rsidR="00B25461" w:rsidRPr="0012404A" w:rsidRDefault="00B25461" w:rsidP="0012404A">
      <w:pPr>
        <w:pStyle w:val="Liststycke"/>
        <w:widowControl/>
        <w:numPr>
          <w:ilvl w:val="0"/>
          <w:numId w:val="13"/>
        </w:numPr>
        <w:autoSpaceDE/>
        <w:autoSpaceDN/>
        <w:spacing w:before="0" w:after="160" w:line="278" w:lineRule="auto"/>
        <w:ind w:left="720"/>
        <w:contextualSpacing/>
        <w:jc w:val="both"/>
        <w:rPr>
          <w:sz w:val="18"/>
          <w:szCs w:val="18"/>
          <w:lang w:val="sv-SE"/>
        </w:rPr>
      </w:pPr>
      <w:r w:rsidRPr="0012404A">
        <w:rPr>
          <w:sz w:val="18"/>
          <w:szCs w:val="18"/>
          <w:lang w:val="sv-SE"/>
        </w:rPr>
        <w:t xml:space="preserve">Use estimates made retrospectively when, for example, determining the lease term for contracts which contains options to extend or terminate the leasing </w:t>
      </w:r>
    </w:p>
    <w:p w14:paraId="589E4BD5" w14:textId="77777777" w:rsidR="00B25461" w:rsidRPr="00302F7C" w:rsidRDefault="00B25461" w:rsidP="00B25461">
      <w:pPr>
        <w:pStyle w:val="Brdtext"/>
        <w:spacing w:before="107" w:line="264" w:lineRule="auto"/>
        <w:ind w:left="118" w:right="463"/>
        <w:rPr>
          <w:i/>
          <w:iCs/>
        </w:rPr>
      </w:pPr>
      <w:r w:rsidRPr="00302F7C">
        <w:rPr>
          <w:i/>
          <w:iCs/>
        </w:rPr>
        <w:t>Accumulated translation differences (IAS21)</w:t>
      </w:r>
    </w:p>
    <w:p w14:paraId="4BD0039E" w14:textId="77777777" w:rsidR="00B25461" w:rsidRPr="001C31FE" w:rsidRDefault="00B25461" w:rsidP="001C31FE">
      <w:pPr>
        <w:pStyle w:val="Brdtext"/>
        <w:spacing w:line="261" w:lineRule="auto"/>
        <w:ind w:left="118" w:right="301"/>
        <w:rPr>
          <w:lang w:val="sv-SE"/>
        </w:rPr>
      </w:pPr>
      <w:r w:rsidRPr="00E51854">
        <w:t xml:space="preserve">The Group has chosen to apply the exemption for retroactivity linked to accumulated translation differences. The </w:t>
      </w:r>
      <w:r w:rsidRPr="001C31FE">
        <w:rPr>
          <w:lang w:val="sv-SE"/>
        </w:rPr>
        <w:t>accumulated translation differences for all foreign operations amount to zero at the time of transition to IFRS.</w:t>
      </w:r>
    </w:p>
    <w:p w14:paraId="3D5FAE70" w14:textId="77777777" w:rsidR="00DF360F" w:rsidRPr="001C31FE" w:rsidRDefault="00DF360F" w:rsidP="001C31FE">
      <w:pPr>
        <w:pStyle w:val="Brdtext"/>
        <w:spacing w:line="261" w:lineRule="auto"/>
        <w:ind w:left="118" w:right="301"/>
        <w:rPr>
          <w:lang w:val="sv-SE"/>
        </w:rPr>
      </w:pPr>
    </w:p>
    <w:p w14:paraId="0505890B" w14:textId="72C8D15C" w:rsidR="00DF360F" w:rsidRPr="00BE044C" w:rsidRDefault="00876FAC" w:rsidP="00DF360F">
      <w:pPr>
        <w:pStyle w:val="Rubrik7"/>
        <w:rPr>
          <w:spacing w:val="-2"/>
          <w:sz w:val="18"/>
          <w:szCs w:val="18"/>
        </w:rPr>
      </w:pPr>
      <w:r>
        <w:rPr>
          <w:spacing w:val="-2"/>
          <w:sz w:val="18"/>
          <w:szCs w:val="18"/>
        </w:rPr>
        <w:t>Business acquisitions before transition date</w:t>
      </w:r>
    </w:p>
    <w:p w14:paraId="0627AB0E" w14:textId="35E52B83" w:rsidR="00B25461" w:rsidRDefault="00B54A46" w:rsidP="001C31FE">
      <w:pPr>
        <w:pStyle w:val="Brdtext"/>
        <w:spacing w:line="261" w:lineRule="auto"/>
        <w:ind w:left="118" w:right="301"/>
        <w:rPr>
          <w:lang w:val="sv-SE"/>
        </w:rPr>
      </w:pPr>
      <w:r w:rsidRPr="00E218C3">
        <w:rPr>
          <w:lang w:val="sv-SE"/>
        </w:rPr>
        <w:t xml:space="preserve">The Group has chosen to apply the exception to restate acquisitions made before the transition date. The value of acquired companies therefore continues to be reported at </w:t>
      </w:r>
      <w:r w:rsidR="00882402">
        <w:rPr>
          <w:lang w:val="sv-SE"/>
        </w:rPr>
        <w:t>acquisition value</w:t>
      </w:r>
      <w:r w:rsidRPr="00E218C3">
        <w:rPr>
          <w:lang w:val="sv-SE"/>
        </w:rPr>
        <w:t>.</w:t>
      </w:r>
    </w:p>
    <w:p w14:paraId="5F91B75B" w14:textId="77777777" w:rsidR="001F071E" w:rsidRPr="00E218C3" w:rsidRDefault="001F071E" w:rsidP="001C31FE">
      <w:pPr>
        <w:pStyle w:val="Brdtext"/>
        <w:spacing w:line="261" w:lineRule="auto"/>
        <w:ind w:left="118" w:right="301"/>
        <w:rPr>
          <w:lang w:val="sv-SE"/>
        </w:rPr>
      </w:pPr>
    </w:p>
    <w:p w14:paraId="3AD9E5B8" w14:textId="77777777" w:rsidR="00B25461" w:rsidRPr="00302F7C" w:rsidRDefault="00B25461" w:rsidP="00B25461">
      <w:pPr>
        <w:pStyle w:val="Brdtext"/>
        <w:spacing w:before="107" w:line="264" w:lineRule="auto"/>
        <w:ind w:left="118" w:right="463"/>
        <w:rPr>
          <w:i/>
          <w:iCs/>
        </w:rPr>
      </w:pPr>
      <w:r w:rsidRPr="00302F7C">
        <w:rPr>
          <w:i/>
          <w:iCs/>
        </w:rPr>
        <w:t>Description of significant transition effects</w:t>
      </w:r>
    </w:p>
    <w:p w14:paraId="64D38D76" w14:textId="794E86CA" w:rsidR="00B25461" w:rsidRPr="00E51854" w:rsidRDefault="00B25461" w:rsidP="00B25461">
      <w:pPr>
        <w:pStyle w:val="Brdtext"/>
        <w:spacing w:before="107" w:line="264" w:lineRule="auto"/>
        <w:ind w:left="118" w:right="463"/>
      </w:pPr>
      <w:r w:rsidRPr="00E51854">
        <w:t>Below are the retrospectively adjusted accounts for the balance sheet as of 1 January 2023 and 31 December 2023 and the income statement for the period January-December 2023 and October-December 2023. The most important differences include:</w:t>
      </w:r>
      <w:r w:rsidR="005E6880">
        <w:t xml:space="preserve"> </w:t>
      </w:r>
      <w:r w:rsidRPr="00E51854">
        <w:t>For historical periods, the company has used a simplification model where the company's (limited) Goodwill has been amortized on a straight-line basis. Upon transition to IFRS, an impairment test is instead performed, which has led to historical goodwill amortization being reversed in the accounts for the retroactive periods</w:t>
      </w:r>
    </w:p>
    <w:p w14:paraId="22E6E599" w14:textId="6AE68C75" w:rsidR="00B25461" w:rsidRPr="00E51854" w:rsidRDefault="00D304AE" w:rsidP="00B25461">
      <w:pPr>
        <w:pStyle w:val="Brdtext"/>
        <w:spacing w:before="107" w:line="264" w:lineRule="auto"/>
        <w:ind w:left="118" w:right="463"/>
      </w:pPr>
      <w:r>
        <w:lastRenderedPageBreak/>
        <w:t>A</w:t>
      </w:r>
      <w:r w:rsidR="00B25461" w:rsidRPr="00E51854">
        <w:t xml:space="preserve">. According to IFRS16, all leases, except those with a short term or low value, must be capitalized in the balance sheet as a fixed asset and financial liability. This differs from previously applied principles (K3) where only the expense for leasing </w:t>
      </w:r>
      <w:r w:rsidR="009A05DD">
        <w:t xml:space="preserve">of </w:t>
      </w:r>
      <w:r w:rsidR="00B25461" w:rsidRPr="00E51854">
        <w:t>activity equipment was capitalized. The Group's leases consist essentially of right-of-use assets of premises and the above-mentioned right-of-use of activity equipment. At the transition date, the Group measures the lease liability at the present value of the remaining lease payments discounted at the marginal lending rate. At the transition date, the Group recognizes a right-of-use asset at an amount equal to the lease liability, adjusted for any prepaid payments attributable to the leases. In subsequent periods, the lease liability is recognized at amortized cost while the right-of-use asset is reduced by depreciation and impairment losses.</w:t>
      </w:r>
    </w:p>
    <w:p w14:paraId="0F02F07B" w14:textId="18495A70" w:rsidR="00B25461" w:rsidRPr="00E51854" w:rsidRDefault="00D304AE" w:rsidP="00B25461">
      <w:pPr>
        <w:pStyle w:val="Brdtext"/>
        <w:spacing w:before="107" w:line="264" w:lineRule="auto"/>
        <w:ind w:left="118" w:right="463"/>
      </w:pPr>
      <w:r>
        <w:t xml:space="preserve">B. </w:t>
      </w:r>
      <w:r w:rsidR="00B25461" w:rsidRPr="00E51854">
        <w:t>The transition to new principles for accounting for leases means that cash outflows for lease payments that were presented as cash flow from operating activities before the transition are replaced by cash flow for interest paid that is presented as cash flow from financing activities and amortization of lease liabilities that is presented as negative cash flow from financing activities. The transition to IFRS means that cash flow from operating activities increases and cash flow from financing activities decreases by a corresponding amount.</w:t>
      </w:r>
    </w:p>
    <w:p w14:paraId="7ED0669C" w14:textId="77777777" w:rsidR="00B25461" w:rsidRDefault="00B25461" w:rsidP="00B25461">
      <w:pPr>
        <w:pStyle w:val="Brdtext"/>
        <w:spacing w:before="107" w:line="264" w:lineRule="auto"/>
        <w:ind w:left="118" w:right="463"/>
      </w:pPr>
      <w:r w:rsidRPr="00E51854">
        <w:t>C. In connection with the IFRS transition, certain minor reclassifications have been made in the retroactive periods</w:t>
      </w:r>
    </w:p>
    <w:p w14:paraId="5B68E12E" w14:textId="77777777" w:rsidR="00246D66" w:rsidRDefault="00246D66" w:rsidP="00B25461">
      <w:pPr>
        <w:pStyle w:val="Brdtext"/>
        <w:spacing w:before="107" w:line="264" w:lineRule="auto"/>
        <w:ind w:left="118" w:right="463"/>
      </w:pPr>
    </w:p>
    <w:p w14:paraId="72146099" w14:textId="03C98878" w:rsidR="00246D66" w:rsidRDefault="003C5E1C" w:rsidP="00B25461">
      <w:pPr>
        <w:pStyle w:val="Brdtext"/>
        <w:spacing w:before="107" w:line="264" w:lineRule="auto"/>
        <w:ind w:left="118" w:right="463"/>
      </w:pPr>
      <w:r w:rsidRPr="003C5E1C">
        <w:rPr>
          <w:noProof/>
        </w:rPr>
        <w:drawing>
          <wp:inline distT="0" distB="0" distL="0" distR="0" wp14:anchorId="679A44E6" wp14:editId="0AFE99B1">
            <wp:extent cx="5319482" cy="4305300"/>
            <wp:effectExtent l="0" t="0" r="0" b="0"/>
            <wp:docPr id="116273353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9181" cy="4313150"/>
                    </a:xfrm>
                    <a:prstGeom prst="rect">
                      <a:avLst/>
                    </a:prstGeom>
                    <a:noFill/>
                    <a:ln>
                      <a:noFill/>
                    </a:ln>
                  </pic:spPr>
                </pic:pic>
              </a:graphicData>
            </a:graphic>
          </wp:inline>
        </w:drawing>
      </w:r>
    </w:p>
    <w:p w14:paraId="08C6EF76" w14:textId="77777777" w:rsidR="00246D66" w:rsidRDefault="00246D66" w:rsidP="00B25461">
      <w:pPr>
        <w:pStyle w:val="Brdtext"/>
        <w:spacing w:before="107" w:line="264" w:lineRule="auto"/>
        <w:ind w:left="118" w:right="463"/>
      </w:pPr>
    </w:p>
    <w:p w14:paraId="0ABBE980" w14:textId="4C634ECA" w:rsidR="00246D66" w:rsidRDefault="00AC6E81" w:rsidP="00B25461">
      <w:pPr>
        <w:pStyle w:val="Brdtext"/>
        <w:spacing w:before="107" w:line="264" w:lineRule="auto"/>
        <w:ind w:left="118" w:right="463"/>
      </w:pPr>
      <w:r w:rsidRPr="00AC6E81">
        <w:rPr>
          <w:noProof/>
        </w:rPr>
        <w:lastRenderedPageBreak/>
        <w:drawing>
          <wp:inline distT="0" distB="0" distL="0" distR="0" wp14:anchorId="7351631E" wp14:editId="0474AF9F">
            <wp:extent cx="5128786" cy="8134350"/>
            <wp:effectExtent l="0" t="0" r="0" b="0"/>
            <wp:docPr id="98726612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32424" cy="8140121"/>
                    </a:xfrm>
                    <a:prstGeom prst="rect">
                      <a:avLst/>
                    </a:prstGeom>
                    <a:noFill/>
                    <a:ln>
                      <a:noFill/>
                    </a:ln>
                  </pic:spPr>
                </pic:pic>
              </a:graphicData>
            </a:graphic>
          </wp:inline>
        </w:drawing>
      </w:r>
    </w:p>
    <w:p w14:paraId="2EE76B93" w14:textId="4D10C276" w:rsidR="00246D66" w:rsidRDefault="005D030D" w:rsidP="00B25461">
      <w:pPr>
        <w:pStyle w:val="Brdtext"/>
        <w:spacing w:before="107" w:line="264" w:lineRule="auto"/>
        <w:ind w:left="118" w:right="463"/>
      </w:pPr>
      <w:r w:rsidRPr="005D030D">
        <w:rPr>
          <w:noProof/>
        </w:rPr>
        <w:lastRenderedPageBreak/>
        <w:drawing>
          <wp:inline distT="0" distB="0" distL="0" distR="0" wp14:anchorId="05782D53" wp14:editId="664BB786">
            <wp:extent cx="5326971" cy="8448675"/>
            <wp:effectExtent l="0" t="0" r="7620" b="0"/>
            <wp:docPr id="132062766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1258" cy="8455475"/>
                    </a:xfrm>
                    <a:prstGeom prst="rect">
                      <a:avLst/>
                    </a:prstGeom>
                    <a:noFill/>
                    <a:ln>
                      <a:noFill/>
                    </a:ln>
                  </pic:spPr>
                </pic:pic>
              </a:graphicData>
            </a:graphic>
          </wp:inline>
        </w:drawing>
      </w:r>
    </w:p>
    <w:p w14:paraId="23F71D6F" w14:textId="4F0F319D" w:rsidR="00246D66" w:rsidRDefault="000C0A6B" w:rsidP="00B25461">
      <w:pPr>
        <w:pStyle w:val="Brdtext"/>
        <w:spacing w:before="107" w:line="264" w:lineRule="auto"/>
        <w:ind w:left="118" w:right="463"/>
      </w:pPr>
      <w:r w:rsidRPr="000C0A6B">
        <w:rPr>
          <w:noProof/>
        </w:rPr>
        <w:lastRenderedPageBreak/>
        <w:drawing>
          <wp:inline distT="0" distB="0" distL="0" distR="0" wp14:anchorId="405FA51F" wp14:editId="721AF277">
            <wp:extent cx="5372100" cy="3677350"/>
            <wp:effectExtent l="0" t="0" r="0" b="0"/>
            <wp:docPr id="131759078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5201" cy="3679473"/>
                    </a:xfrm>
                    <a:prstGeom prst="rect">
                      <a:avLst/>
                    </a:prstGeom>
                    <a:noFill/>
                    <a:ln>
                      <a:noFill/>
                    </a:ln>
                  </pic:spPr>
                </pic:pic>
              </a:graphicData>
            </a:graphic>
          </wp:inline>
        </w:drawing>
      </w:r>
    </w:p>
    <w:p w14:paraId="234FC893" w14:textId="77777777" w:rsidR="00246D66" w:rsidRDefault="00246D66" w:rsidP="00B25461">
      <w:pPr>
        <w:pStyle w:val="Brdtext"/>
        <w:spacing w:before="107" w:line="264" w:lineRule="auto"/>
        <w:ind w:left="118" w:right="463"/>
      </w:pPr>
    </w:p>
    <w:p w14:paraId="0F004D1C" w14:textId="5A87B5F1" w:rsidR="007B580D" w:rsidRPr="00BD54A2" w:rsidRDefault="007B580D" w:rsidP="007B580D">
      <w:pPr>
        <w:pStyle w:val="Rubrik5"/>
      </w:pPr>
      <w:r w:rsidRPr="00BD54A2">
        <w:t>Note</w:t>
      </w:r>
      <w:r w:rsidRPr="00BD54A2">
        <w:rPr>
          <w:spacing w:val="-4"/>
        </w:rPr>
        <w:t xml:space="preserve"> </w:t>
      </w:r>
      <w:r>
        <w:t>4</w:t>
      </w:r>
      <w:r w:rsidRPr="00BD54A2">
        <w:rPr>
          <w:spacing w:val="-2"/>
        </w:rPr>
        <w:t xml:space="preserve"> </w:t>
      </w:r>
      <w:r>
        <w:t>Key estimates and assessments</w:t>
      </w:r>
    </w:p>
    <w:p w14:paraId="7AEFD908" w14:textId="77777777" w:rsidR="0030736B" w:rsidRPr="0030736B" w:rsidRDefault="0030736B" w:rsidP="0030736B">
      <w:pPr>
        <w:pStyle w:val="Rubrik8"/>
        <w:spacing w:before="106"/>
        <w:jc w:val="both"/>
      </w:pPr>
      <w:r w:rsidRPr="0030736B">
        <w:t>Key</w:t>
      </w:r>
      <w:r w:rsidRPr="0030736B">
        <w:rPr>
          <w:spacing w:val="-8"/>
        </w:rPr>
        <w:t xml:space="preserve"> </w:t>
      </w:r>
      <w:r w:rsidRPr="0030736B">
        <w:t>sources</w:t>
      </w:r>
      <w:r w:rsidRPr="0030736B">
        <w:rPr>
          <w:spacing w:val="-8"/>
        </w:rPr>
        <w:t xml:space="preserve"> </w:t>
      </w:r>
      <w:r w:rsidRPr="0030736B">
        <w:t>of</w:t>
      </w:r>
      <w:r w:rsidRPr="0030736B">
        <w:rPr>
          <w:spacing w:val="-10"/>
        </w:rPr>
        <w:t xml:space="preserve"> </w:t>
      </w:r>
      <w:r w:rsidRPr="0030736B">
        <w:t>uncertainty</w:t>
      </w:r>
      <w:r w:rsidRPr="0030736B">
        <w:rPr>
          <w:spacing w:val="-7"/>
        </w:rPr>
        <w:t xml:space="preserve"> </w:t>
      </w:r>
      <w:r w:rsidRPr="0030736B">
        <w:t>in</w:t>
      </w:r>
      <w:r w:rsidRPr="0030736B">
        <w:rPr>
          <w:spacing w:val="-8"/>
        </w:rPr>
        <w:t xml:space="preserve"> </w:t>
      </w:r>
      <w:r w:rsidRPr="0030736B">
        <w:rPr>
          <w:spacing w:val="-2"/>
        </w:rPr>
        <w:t>estimates</w:t>
      </w:r>
    </w:p>
    <w:p w14:paraId="60D6D157" w14:textId="47E3B918" w:rsidR="00CC105E" w:rsidRDefault="00CC105E">
      <w:pPr>
        <w:pStyle w:val="Rubrik8"/>
        <w:spacing w:before="106"/>
        <w:jc w:val="both"/>
        <w:rPr>
          <w:b w:val="0"/>
          <w:bCs w:val="0"/>
        </w:rPr>
      </w:pPr>
      <w:r w:rsidRPr="00CC105E">
        <w:rPr>
          <w:b w:val="0"/>
          <w:bCs w:val="0"/>
        </w:rPr>
        <w:t>The following are the key assumptions about the future and other critical sources of estimation uncertainty at the balance sheet date that have a significant risk of causing a material adjustment to the carrying amounts of assets and liabilities within the next financial year.</w:t>
      </w:r>
    </w:p>
    <w:p w14:paraId="37E4FA6C" w14:textId="77777777" w:rsidR="0030736B" w:rsidRDefault="0030736B">
      <w:pPr>
        <w:pStyle w:val="Rubrik8"/>
        <w:spacing w:before="106"/>
        <w:jc w:val="both"/>
        <w:rPr>
          <w:b w:val="0"/>
          <w:bCs w:val="0"/>
        </w:rPr>
      </w:pPr>
    </w:p>
    <w:p w14:paraId="3C64F67B" w14:textId="589DAA32" w:rsidR="00987DAC" w:rsidRPr="007C7B6C" w:rsidRDefault="00016B4C" w:rsidP="0084514D">
      <w:pPr>
        <w:pStyle w:val="Rubrik7"/>
        <w:jc w:val="both"/>
        <w:rPr>
          <w:i w:val="0"/>
        </w:rPr>
      </w:pPr>
      <w:r w:rsidRPr="007C7B6C">
        <w:t>Impairment</w:t>
      </w:r>
      <w:r w:rsidRPr="007C7B6C">
        <w:rPr>
          <w:spacing w:val="-8"/>
        </w:rPr>
        <w:t xml:space="preserve"> </w:t>
      </w:r>
      <w:r w:rsidRPr="007C7B6C">
        <w:t>of</w:t>
      </w:r>
      <w:r w:rsidRPr="007C7B6C">
        <w:rPr>
          <w:spacing w:val="-6"/>
        </w:rPr>
        <w:t xml:space="preserve"> </w:t>
      </w:r>
      <w:r w:rsidRPr="007C7B6C">
        <w:t>goodwill,</w:t>
      </w:r>
      <w:r w:rsidRPr="007C7B6C">
        <w:rPr>
          <w:spacing w:val="-8"/>
        </w:rPr>
        <w:t xml:space="preserve"> </w:t>
      </w:r>
      <w:r w:rsidRPr="007C7B6C">
        <w:t>other</w:t>
      </w:r>
      <w:r w:rsidRPr="007C7B6C">
        <w:rPr>
          <w:spacing w:val="-7"/>
        </w:rPr>
        <w:t xml:space="preserve"> </w:t>
      </w:r>
      <w:r w:rsidRPr="007C7B6C">
        <w:t>intangible</w:t>
      </w:r>
      <w:r w:rsidRPr="007C7B6C">
        <w:rPr>
          <w:spacing w:val="-6"/>
        </w:rPr>
        <w:t xml:space="preserve"> </w:t>
      </w:r>
      <w:r w:rsidRPr="007C7B6C">
        <w:t>assets</w:t>
      </w:r>
      <w:r w:rsidRPr="007C7B6C">
        <w:rPr>
          <w:spacing w:val="-7"/>
        </w:rPr>
        <w:t xml:space="preserve"> </w:t>
      </w:r>
      <w:r w:rsidRPr="007C7B6C">
        <w:t>and</w:t>
      </w:r>
      <w:r w:rsidRPr="007C7B6C">
        <w:rPr>
          <w:spacing w:val="-6"/>
        </w:rPr>
        <w:t xml:space="preserve"> </w:t>
      </w:r>
      <w:r w:rsidRPr="007C7B6C">
        <w:t>property,</w:t>
      </w:r>
      <w:r w:rsidRPr="007C7B6C">
        <w:rPr>
          <w:spacing w:val="-8"/>
        </w:rPr>
        <w:t xml:space="preserve"> </w:t>
      </w:r>
      <w:r w:rsidRPr="007C7B6C">
        <w:t>plant</w:t>
      </w:r>
      <w:r w:rsidRPr="007C7B6C">
        <w:rPr>
          <w:spacing w:val="-7"/>
        </w:rPr>
        <w:t xml:space="preserve"> </w:t>
      </w:r>
      <w:r w:rsidRPr="007C7B6C">
        <w:t>and</w:t>
      </w:r>
      <w:r w:rsidRPr="007C7B6C">
        <w:rPr>
          <w:spacing w:val="-4"/>
        </w:rPr>
        <w:t xml:space="preserve"> </w:t>
      </w:r>
      <w:r w:rsidRPr="007C7B6C">
        <w:rPr>
          <w:spacing w:val="-2"/>
        </w:rPr>
        <w:t>equipmen</w:t>
      </w:r>
      <w:r w:rsidR="0084514D" w:rsidRPr="007C7B6C">
        <w:rPr>
          <w:spacing w:val="-2"/>
        </w:rPr>
        <w:t>t</w:t>
      </w:r>
    </w:p>
    <w:p w14:paraId="3C64F67E" w14:textId="515DBEAC" w:rsidR="00987DAC" w:rsidRPr="007A031F" w:rsidRDefault="007A031F" w:rsidP="007A031F">
      <w:pPr>
        <w:pStyle w:val="Brdtext"/>
        <w:spacing w:before="107" w:line="264" w:lineRule="auto"/>
        <w:ind w:left="118" w:right="463"/>
      </w:pPr>
      <w:r w:rsidRPr="007A031F">
        <w:t xml:space="preserve">Goodwill is tested for impairment annually and whenever events or changes in circumstances indicate that the value of goodwill arising from an acquisition may be impaired. To determine whether goodwill is impaired, the cash-generating unit to which the goodwill is allocated must be valued, which is done by discounting the unit's cash flows. In applying this method, the company relies on a number of factors, including achieved results, business plans, financial forecasts and market data. Changes in the conditions for these assumptions and estimates could have a significant effect on the value of goodwill. The Group's impairment test and definition of the cash-generating units are presented in </w:t>
      </w:r>
      <w:r w:rsidR="00016A68">
        <w:t>n</w:t>
      </w:r>
      <w:r w:rsidRPr="007A031F">
        <w:t>ote 14.</w:t>
      </w:r>
    </w:p>
    <w:p w14:paraId="0A80CD8D" w14:textId="77777777" w:rsidR="007A031F" w:rsidRPr="007A031F" w:rsidRDefault="007A031F">
      <w:pPr>
        <w:pStyle w:val="Brdtext"/>
        <w:spacing w:before="63"/>
      </w:pPr>
    </w:p>
    <w:p w14:paraId="3C64F67F" w14:textId="77777777" w:rsidR="00987DAC" w:rsidRPr="007A031F" w:rsidRDefault="00016B4C">
      <w:pPr>
        <w:pStyle w:val="Rubrik7"/>
      </w:pPr>
      <w:r w:rsidRPr="007A031F">
        <w:t>Recognition</w:t>
      </w:r>
      <w:r w:rsidRPr="007A031F">
        <w:rPr>
          <w:spacing w:val="-8"/>
        </w:rPr>
        <w:t xml:space="preserve"> </w:t>
      </w:r>
      <w:r w:rsidRPr="007A031F">
        <w:t>of</w:t>
      </w:r>
      <w:r w:rsidRPr="007A031F">
        <w:rPr>
          <w:spacing w:val="-8"/>
        </w:rPr>
        <w:t xml:space="preserve"> </w:t>
      </w:r>
      <w:r w:rsidRPr="007A031F">
        <w:t>deferred</w:t>
      </w:r>
      <w:r w:rsidRPr="007A031F">
        <w:rPr>
          <w:spacing w:val="-7"/>
        </w:rPr>
        <w:t xml:space="preserve"> </w:t>
      </w:r>
      <w:r w:rsidRPr="007A031F">
        <w:t>tax</w:t>
      </w:r>
      <w:r w:rsidRPr="007A031F">
        <w:rPr>
          <w:spacing w:val="-5"/>
        </w:rPr>
        <w:t xml:space="preserve"> </w:t>
      </w:r>
      <w:r w:rsidRPr="007A031F">
        <w:t>asset</w:t>
      </w:r>
      <w:r w:rsidRPr="007A031F">
        <w:rPr>
          <w:spacing w:val="-8"/>
        </w:rPr>
        <w:t xml:space="preserve"> </w:t>
      </w:r>
      <w:r w:rsidRPr="007A031F">
        <w:t>regarding</w:t>
      </w:r>
      <w:r w:rsidRPr="007A031F">
        <w:rPr>
          <w:spacing w:val="-8"/>
        </w:rPr>
        <w:t xml:space="preserve"> </w:t>
      </w:r>
      <w:r w:rsidRPr="007A031F">
        <w:t>fiscal</w:t>
      </w:r>
      <w:r w:rsidRPr="007A031F">
        <w:rPr>
          <w:spacing w:val="-10"/>
        </w:rPr>
        <w:t xml:space="preserve"> </w:t>
      </w:r>
      <w:r w:rsidRPr="007A031F">
        <w:rPr>
          <w:spacing w:val="-2"/>
        </w:rPr>
        <w:t>deficits</w:t>
      </w:r>
    </w:p>
    <w:p w14:paraId="3C64F681" w14:textId="12F6B742" w:rsidR="00987DAC" w:rsidRDefault="0047265C" w:rsidP="0047265C">
      <w:pPr>
        <w:pStyle w:val="Brdtext"/>
        <w:spacing w:before="107" w:line="264" w:lineRule="auto"/>
        <w:ind w:left="118" w:right="463"/>
      </w:pPr>
      <w:r w:rsidRPr="0047265C">
        <w:t xml:space="preserve">The Group has recognized deferred tax assets of </w:t>
      </w:r>
      <w:r w:rsidR="00FC6FC2">
        <w:t>184 180</w:t>
      </w:r>
      <w:r w:rsidRPr="0047265C">
        <w:t xml:space="preserve"> thousand SEK (</w:t>
      </w:r>
      <w:r w:rsidR="00FC6FC2">
        <w:t>152 734</w:t>
      </w:r>
      <w:r w:rsidRPr="0047265C">
        <w:t>), of which 13,542 thousand SEK (5,288) relates to tax assets regarding unused tax loss carryforwards. The recognized assets are dependent on the Group being able to recognize sufficiently large taxable surpluses within the foreseeable future. In order to assess whether it is likely that this will happen, the Group has, among other things, analyzed future earnings based on historical outcomes and assessments of future earnings.</w:t>
      </w:r>
    </w:p>
    <w:p w14:paraId="7E877EB8" w14:textId="77777777" w:rsidR="0047265C" w:rsidRPr="0047265C" w:rsidRDefault="0047265C" w:rsidP="0047265C">
      <w:pPr>
        <w:pStyle w:val="Brdtext"/>
        <w:spacing w:before="107" w:line="264" w:lineRule="auto"/>
        <w:ind w:left="118" w:right="463"/>
      </w:pPr>
    </w:p>
    <w:p w14:paraId="3C64F682" w14:textId="6D491AC8" w:rsidR="00987DAC" w:rsidRPr="00D21193" w:rsidRDefault="00016B4C">
      <w:pPr>
        <w:pStyle w:val="Rubrik5"/>
      </w:pPr>
      <w:r w:rsidRPr="00D21193">
        <w:t>Note</w:t>
      </w:r>
      <w:r w:rsidRPr="00D21193">
        <w:rPr>
          <w:spacing w:val="-4"/>
        </w:rPr>
        <w:t xml:space="preserve"> </w:t>
      </w:r>
      <w:r w:rsidR="00D21193" w:rsidRPr="00D21193">
        <w:t>5</w:t>
      </w:r>
      <w:r w:rsidRPr="00D21193">
        <w:rPr>
          <w:spacing w:val="-2"/>
        </w:rPr>
        <w:t xml:space="preserve"> </w:t>
      </w:r>
      <w:r w:rsidRPr="00D21193">
        <w:t>Financial</w:t>
      </w:r>
      <w:r w:rsidRPr="00D21193">
        <w:rPr>
          <w:spacing w:val="-3"/>
        </w:rPr>
        <w:t xml:space="preserve"> </w:t>
      </w:r>
      <w:r w:rsidRPr="00D21193">
        <w:t>risk</w:t>
      </w:r>
      <w:r w:rsidRPr="00D21193">
        <w:rPr>
          <w:spacing w:val="-7"/>
        </w:rPr>
        <w:t xml:space="preserve"> </w:t>
      </w:r>
      <w:r w:rsidRPr="00D21193">
        <w:t>management</w:t>
      </w:r>
      <w:r w:rsidRPr="00D21193">
        <w:rPr>
          <w:spacing w:val="-7"/>
        </w:rPr>
        <w:t xml:space="preserve"> </w:t>
      </w:r>
      <w:r w:rsidRPr="00D21193">
        <w:t>and</w:t>
      </w:r>
      <w:r w:rsidRPr="00D21193">
        <w:rPr>
          <w:spacing w:val="-3"/>
        </w:rPr>
        <w:t xml:space="preserve"> </w:t>
      </w:r>
      <w:r w:rsidRPr="00D21193">
        <w:t>financial</w:t>
      </w:r>
      <w:r w:rsidRPr="00D21193">
        <w:rPr>
          <w:spacing w:val="-5"/>
        </w:rPr>
        <w:t xml:space="preserve"> </w:t>
      </w:r>
      <w:r w:rsidRPr="00D21193">
        <w:rPr>
          <w:spacing w:val="-2"/>
        </w:rPr>
        <w:t>instruments</w:t>
      </w:r>
    </w:p>
    <w:p w14:paraId="3C64F684" w14:textId="1B35C532" w:rsidR="00E1668E" w:rsidRDefault="007757A4" w:rsidP="007757A4">
      <w:pPr>
        <w:pStyle w:val="Brdtext"/>
        <w:spacing w:before="107" w:line="264" w:lineRule="auto"/>
        <w:ind w:left="118" w:right="463"/>
      </w:pPr>
      <w:r w:rsidRPr="007757A4">
        <w:t>The Group is exposed to various types of financial risks through its operations, such as market, liquidity and credit risks. The market risks consist mainly of interest rate risk and currency risk, as the company conducts extensive operations abroad. The Group's Board of Directors is ultimately responsible for the exposure, management and monitoring of the Group's financial risks. The framework for exposure, management and monitoring of financial risks is set out in the Group's financial policy, which is revised annually. The Board of Directors has delegated responsibility for day-to-day risk management to the Group's CFO. The Board of Directors has the opportunity to decide on temporary deviations from the established guidelines.</w:t>
      </w:r>
    </w:p>
    <w:p w14:paraId="78DAC9C1" w14:textId="77777777" w:rsidR="00E1668E" w:rsidRDefault="00E1668E">
      <w:pPr>
        <w:rPr>
          <w:sz w:val="18"/>
          <w:szCs w:val="18"/>
        </w:rPr>
      </w:pPr>
      <w:r>
        <w:br w:type="page"/>
      </w:r>
    </w:p>
    <w:p w14:paraId="3C64F685" w14:textId="77777777" w:rsidR="00987DAC" w:rsidRPr="001A00E6" w:rsidRDefault="00016B4C" w:rsidP="007757A4">
      <w:pPr>
        <w:pStyle w:val="Brdtext"/>
        <w:spacing w:before="107" w:line="264" w:lineRule="auto"/>
        <w:ind w:left="118" w:right="463"/>
        <w:rPr>
          <w:b/>
        </w:rPr>
      </w:pPr>
      <w:r w:rsidRPr="001A00E6">
        <w:rPr>
          <w:b/>
        </w:rPr>
        <w:lastRenderedPageBreak/>
        <w:t>Market</w:t>
      </w:r>
      <w:r w:rsidRPr="001A00E6">
        <w:rPr>
          <w:b/>
          <w:spacing w:val="-8"/>
        </w:rPr>
        <w:t xml:space="preserve"> </w:t>
      </w:r>
      <w:r w:rsidRPr="001A00E6">
        <w:rPr>
          <w:b/>
          <w:spacing w:val="-4"/>
        </w:rPr>
        <w:t>risk</w:t>
      </w:r>
    </w:p>
    <w:p w14:paraId="3C64F686" w14:textId="77777777" w:rsidR="00987DAC" w:rsidRPr="001A00E6" w:rsidRDefault="00016B4C">
      <w:pPr>
        <w:pStyle w:val="Rubrik7"/>
        <w:spacing w:before="100"/>
        <w:rPr>
          <w:sz w:val="18"/>
          <w:szCs w:val="18"/>
        </w:rPr>
      </w:pPr>
      <w:r w:rsidRPr="001A00E6">
        <w:rPr>
          <w:sz w:val="18"/>
          <w:szCs w:val="18"/>
        </w:rPr>
        <w:t>Currency</w:t>
      </w:r>
      <w:r w:rsidRPr="001A00E6">
        <w:rPr>
          <w:spacing w:val="-10"/>
          <w:sz w:val="18"/>
          <w:szCs w:val="18"/>
        </w:rPr>
        <w:t xml:space="preserve"> </w:t>
      </w:r>
      <w:r w:rsidRPr="001A00E6">
        <w:rPr>
          <w:spacing w:val="-4"/>
          <w:sz w:val="18"/>
          <w:szCs w:val="18"/>
        </w:rPr>
        <w:t>risk</w:t>
      </w:r>
    </w:p>
    <w:p w14:paraId="3C64F688" w14:textId="68F6E2D7" w:rsidR="00987DAC" w:rsidRPr="00A652EB" w:rsidRDefault="002E0FF6" w:rsidP="00A652EB">
      <w:pPr>
        <w:pStyle w:val="Brdtext"/>
        <w:spacing w:before="104" w:line="264" w:lineRule="auto"/>
        <w:ind w:left="118" w:right="273"/>
        <w:rPr>
          <w:lang w:val="sv-SE"/>
        </w:rPr>
      </w:pPr>
      <w:r w:rsidRPr="001A00E6">
        <w:t xml:space="preserve">Currency risk refers to the risk that fair value or future cash flows will fluctuate as a result of changes in exchange rates. The exposure to currency risk arises mainly from payment flows in foreign currency, so-called transaction exposure, and from the translation of foreign subsidiaries' income statements and balance sheets into the </w:t>
      </w:r>
      <w:r w:rsidRPr="00A652EB">
        <w:rPr>
          <w:lang w:val="sv-SE"/>
        </w:rPr>
        <w:t>Group's presentation currency, which is Swedish kronor, so-called translation exposure.</w:t>
      </w:r>
    </w:p>
    <w:p w14:paraId="09F0B900" w14:textId="77777777" w:rsidR="002E0FF6" w:rsidRPr="00A652EB" w:rsidRDefault="002E0FF6" w:rsidP="00A652EB">
      <w:pPr>
        <w:pStyle w:val="Brdtext"/>
        <w:spacing w:before="104" w:line="264" w:lineRule="auto"/>
        <w:ind w:left="118" w:right="273"/>
        <w:rPr>
          <w:lang w:val="sv-SE"/>
        </w:rPr>
      </w:pPr>
    </w:p>
    <w:p w14:paraId="3C64F68A" w14:textId="6867AAED" w:rsidR="00987DAC" w:rsidRPr="00A652EB" w:rsidRDefault="001A00E6" w:rsidP="00A652EB">
      <w:pPr>
        <w:pStyle w:val="Brdtext"/>
        <w:spacing w:before="104" w:line="264" w:lineRule="auto"/>
        <w:ind w:left="118" w:right="273"/>
        <w:rPr>
          <w:lang w:val="sv-SE"/>
        </w:rPr>
      </w:pPr>
      <w:r w:rsidRPr="001A00E6">
        <w:t xml:space="preserve">The Group's operations are conducted in Sweden, Denmark, Norway, Spain and Portugal. Operations outside Sweden entail a certain exposure, primarily to euros. The risk is primarily attributable to translation exposure, which means a risk that the value of the Group's net investments in foreign currency will be negatively affected by changes in exchange rates, as the Group consolidates net assets in SEK on the balance sheet date. The Group has </w:t>
      </w:r>
      <w:r w:rsidR="00A71885">
        <w:t>to some extent taken</w:t>
      </w:r>
      <w:r w:rsidRPr="001A00E6">
        <w:t xml:space="preserve"> measures to reduce translation exposure</w:t>
      </w:r>
      <w:r w:rsidR="00C07A86">
        <w:t xml:space="preserve"> with a “cross currency swap”</w:t>
      </w:r>
      <w:r w:rsidRPr="001A00E6">
        <w:t xml:space="preserve">. Transaction </w:t>
      </w:r>
      <w:r w:rsidRPr="00A652EB">
        <w:rPr>
          <w:lang w:val="sv-SE"/>
        </w:rPr>
        <w:t>exposure is limited, as both income and expenses in each country are primarily in local currency.</w:t>
      </w:r>
    </w:p>
    <w:p w14:paraId="060ED1BA" w14:textId="77777777" w:rsidR="001A00E6" w:rsidRPr="00A652EB" w:rsidRDefault="001A00E6" w:rsidP="00A652EB">
      <w:pPr>
        <w:pStyle w:val="Brdtext"/>
        <w:spacing w:before="104" w:line="264" w:lineRule="auto"/>
        <w:ind w:left="118" w:right="273"/>
        <w:rPr>
          <w:lang w:val="sv-SE"/>
        </w:rPr>
      </w:pPr>
    </w:p>
    <w:p w14:paraId="3C64F68B" w14:textId="77777777" w:rsidR="00987DAC" w:rsidRPr="007818DA" w:rsidRDefault="00016B4C">
      <w:pPr>
        <w:pStyle w:val="Rubrik7"/>
        <w:rPr>
          <w:sz w:val="18"/>
          <w:szCs w:val="18"/>
        </w:rPr>
      </w:pPr>
      <w:r w:rsidRPr="007818DA">
        <w:rPr>
          <w:sz w:val="18"/>
          <w:szCs w:val="18"/>
        </w:rPr>
        <w:t>Interest</w:t>
      </w:r>
      <w:r w:rsidRPr="007818DA">
        <w:rPr>
          <w:spacing w:val="-6"/>
          <w:sz w:val="18"/>
          <w:szCs w:val="18"/>
        </w:rPr>
        <w:t xml:space="preserve"> </w:t>
      </w:r>
      <w:r w:rsidRPr="007818DA">
        <w:rPr>
          <w:sz w:val="18"/>
          <w:szCs w:val="18"/>
        </w:rPr>
        <w:t>rate</w:t>
      </w:r>
      <w:r w:rsidRPr="007818DA">
        <w:rPr>
          <w:spacing w:val="-5"/>
          <w:sz w:val="18"/>
          <w:szCs w:val="18"/>
        </w:rPr>
        <w:t xml:space="preserve"> </w:t>
      </w:r>
      <w:r w:rsidRPr="007818DA">
        <w:rPr>
          <w:spacing w:val="-4"/>
          <w:sz w:val="18"/>
          <w:szCs w:val="18"/>
        </w:rPr>
        <w:t>risk</w:t>
      </w:r>
    </w:p>
    <w:p w14:paraId="3C64F68D" w14:textId="3DEA0DA2" w:rsidR="00987DAC" w:rsidRPr="00065E67" w:rsidRDefault="008A4FA6" w:rsidP="00022B37">
      <w:pPr>
        <w:pStyle w:val="Brdtext"/>
        <w:spacing w:line="261" w:lineRule="auto"/>
        <w:ind w:left="118" w:right="301"/>
        <w:rPr>
          <w:lang w:val="sv-SE"/>
        </w:rPr>
      </w:pPr>
      <w:r w:rsidRPr="007818DA">
        <w:t xml:space="preserve">Interest rate risk refers to the risk that fair value or future cash flows will fluctuate as a result of changes in market interest rates. As the Group does not have any significant financial assets or financial liabilities measured at fair value, changes in market interest rates do not have an immediate remeasurement effect on its income statement. The Group is mainly exposed to interest rate risk through its debt financing. The Group has not entered into any </w:t>
      </w:r>
      <w:r w:rsidRPr="00065E67">
        <w:rPr>
          <w:lang w:val="sv-SE"/>
        </w:rPr>
        <w:t>interest rate hedging contracts or equivalent to reduce interest rate risk.</w:t>
      </w:r>
    </w:p>
    <w:p w14:paraId="47179920" w14:textId="77777777" w:rsidR="008A4FA6" w:rsidRPr="00065E67" w:rsidRDefault="008A4FA6" w:rsidP="00022B37">
      <w:pPr>
        <w:pStyle w:val="Brdtext"/>
        <w:spacing w:line="261" w:lineRule="auto"/>
        <w:ind w:left="118" w:right="301"/>
        <w:rPr>
          <w:lang w:val="sv-SE"/>
        </w:rPr>
      </w:pPr>
    </w:p>
    <w:p w14:paraId="3C64F695" w14:textId="171269F4" w:rsidR="00987DAC" w:rsidRDefault="00CF630F" w:rsidP="00022B37">
      <w:pPr>
        <w:pStyle w:val="Brdtext"/>
        <w:spacing w:line="261" w:lineRule="auto"/>
        <w:ind w:left="118" w:right="301"/>
        <w:rPr>
          <w:lang w:val="sv-SE"/>
        </w:rPr>
      </w:pPr>
      <w:r w:rsidRPr="007818DA">
        <w:t xml:space="preserve">The Group’s loans are divided between a bond loan of nominal SEK 400 million, a revolving (currently unutilized) facility in Nordea as of the balance sheet date amounting to SEK 75 million (SEK 0 million), other loans of SEK 33.9 million (33.3) and liabilities relating to the Group’s leasing commitments totaling SEK 754.4 million (SEK </w:t>
      </w:r>
      <w:r w:rsidRPr="00065E67">
        <w:rPr>
          <w:lang w:val="sv-SE"/>
        </w:rPr>
        <w:t>643.4 million), of which SEK 64.8 million (SEK 51.5 million) are short-term</w:t>
      </w:r>
      <w:r w:rsidR="00016B4C" w:rsidRPr="00065E67">
        <w:rPr>
          <w:lang w:val="sv-SE"/>
        </w:rPr>
        <w:t>.</w:t>
      </w:r>
    </w:p>
    <w:p w14:paraId="5B4CEFEF" w14:textId="77777777" w:rsidR="00A20546" w:rsidRPr="00065E67" w:rsidRDefault="00A20546" w:rsidP="00022B37">
      <w:pPr>
        <w:pStyle w:val="Brdtext"/>
        <w:spacing w:line="261" w:lineRule="auto"/>
        <w:ind w:left="118" w:right="301"/>
        <w:rPr>
          <w:lang w:val="sv-SE"/>
        </w:rPr>
      </w:pPr>
    </w:p>
    <w:p w14:paraId="3C64F697" w14:textId="373DC7A5" w:rsidR="00987DAC" w:rsidRPr="00065E67" w:rsidRDefault="00CF630F" w:rsidP="00022B37">
      <w:pPr>
        <w:pStyle w:val="Brdtext"/>
        <w:spacing w:line="261" w:lineRule="auto"/>
        <w:ind w:left="118" w:right="301"/>
        <w:rPr>
          <w:lang w:val="sv-SE"/>
        </w:rPr>
      </w:pPr>
      <w:r w:rsidRPr="007818DA">
        <w:t xml:space="preserve">The bond loan has a floating interest rate corresponding to STIBOR plus 6.25% and </w:t>
      </w:r>
      <w:r w:rsidR="002F5929">
        <w:t>matures in</w:t>
      </w:r>
      <w:r w:rsidRPr="007818DA">
        <w:t xml:space="preserve"> October 2027. The revolving credit facility has an interest rate on the utilized amount of 4.25% plus STIBOR and an interest rate on the unused amount of 35.0% of the margin of 4.25%. The facility matures in April 2027 and is </w:t>
      </w:r>
      <w:r w:rsidRPr="00065E67">
        <w:rPr>
          <w:lang w:val="sv-SE"/>
        </w:rPr>
        <w:t>completely unused as of the balance sheet date.</w:t>
      </w:r>
    </w:p>
    <w:p w14:paraId="3C8BBFCC" w14:textId="77777777" w:rsidR="00E24171" w:rsidRPr="00065E67" w:rsidRDefault="00E24171" w:rsidP="00022B37">
      <w:pPr>
        <w:pStyle w:val="Brdtext"/>
        <w:spacing w:line="261" w:lineRule="auto"/>
        <w:ind w:left="118" w:right="301"/>
        <w:rPr>
          <w:lang w:val="sv-SE"/>
        </w:rPr>
      </w:pPr>
    </w:p>
    <w:p w14:paraId="08637056" w14:textId="55661E6A" w:rsidR="00E24171" w:rsidRPr="00065E67" w:rsidRDefault="00E24171" w:rsidP="00022B37">
      <w:pPr>
        <w:pStyle w:val="Brdtext"/>
        <w:spacing w:line="261" w:lineRule="auto"/>
        <w:ind w:left="118" w:right="301"/>
        <w:rPr>
          <w:lang w:val="sv-SE"/>
        </w:rPr>
      </w:pPr>
      <w:r w:rsidRPr="007818DA">
        <w:t>The Group’s lease liabilities have been discounted at an interest rate of 2</w:t>
      </w:r>
      <w:r w:rsidR="005334B3">
        <w:t>7</w:t>
      </w:r>
      <w:r w:rsidRPr="007818DA">
        <w:t>% (2</w:t>
      </w:r>
      <w:r w:rsidR="005334B3">
        <w:t>8</w:t>
      </w:r>
      <w:r w:rsidRPr="007818DA">
        <w:t xml:space="preserve">%). The Group’s outstanding average interest rate excluding lease liabilities is approximately 5.98% (3.76%) and the average duration of the Group’s loans excluding lease liabilities is five years (five years). A maturity analysis of the Group’s loans is </w:t>
      </w:r>
      <w:r w:rsidRPr="00065E67">
        <w:rPr>
          <w:lang w:val="sv-SE"/>
        </w:rPr>
        <w:t>presented below.</w:t>
      </w:r>
    </w:p>
    <w:p w14:paraId="69D9485E" w14:textId="77777777" w:rsidR="00E24171" w:rsidRPr="00065E67" w:rsidRDefault="00E24171" w:rsidP="00022B37">
      <w:pPr>
        <w:pStyle w:val="Brdtext"/>
        <w:spacing w:line="261" w:lineRule="auto"/>
        <w:ind w:left="118" w:right="301"/>
        <w:rPr>
          <w:lang w:val="sv-SE"/>
        </w:rPr>
      </w:pPr>
    </w:p>
    <w:p w14:paraId="2283D2BA" w14:textId="4FBA1B2C" w:rsidR="00E24171" w:rsidRPr="00065E67" w:rsidRDefault="00E24171" w:rsidP="00065E67">
      <w:pPr>
        <w:pStyle w:val="Brdtext"/>
        <w:spacing w:before="102" w:line="264" w:lineRule="auto"/>
        <w:ind w:left="118" w:right="328"/>
        <w:rPr>
          <w:lang w:val="sv-SE"/>
        </w:rPr>
      </w:pPr>
      <w:r w:rsidRPr="007818DA">
        <w:t xml:space="preserve">The Group owns a property that is mortgaged. The property is located in Lisbon, Portugal. The loan amounts to </w:t>
      </w:r>
      <w:r w:rsidRPr="00065E67">
        <w:rPr>
          <w:lang w:val="sv-SE"/>
        </w:rPr>
        <w:t>SEK 25.4 (25.8) million as of the balance sheet date. The loan is amortized over a period of 15 years and carries an interest rate of 2.95% and matures in August 2038.</w:t>
      </w:r>
    </w:p>
    <w:p w14:paraId="3443E62F" w14:textId="42C94250" w:rsidR="00CF630F" w:rsidRDefault="002975B8" w:rsidP="00065E67">
      <w:pPr>
        <w:pStyle w:val="Brdtext"/>
        <w:spacing w:before="102" w:line="264" w:lineRule="auto"/>
        <w:ind w:left="118" w:right="328"/>
        <w:rPr>
          <w:lang w:val="sv-SE"/>
        </w:rPr>
      </w:pPr>
      <w:r w:rsidRPr="002975B8">
        <w:rPr>
          <w:noProof/>
        </w:rPr>
        <w:lastRenderedPageBreak/>
        <w:drawing>
          <wp:inline distT="0" distB="0" distL="0" distR="0" wp14:anchorId="3379885B" wp14:editId="1F57C198">
            <wp:extent cx="5658704" cy="6027724"/>
            <wp:effectExtent l="0" t="0" r="0" b="0"/>
            <wp:docPr id="462124201"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5489" cy="6034951"/>
                    </a:xfrm>
                    <a:prstGeom prst="rect">
                      <a:avLst/>
                    </a:prstGeom>
                    <a:noFill/>
                    <a:ln>
                      <a:noFill/>
                    </a:ln>
                  </pic:spPr>
                </pic:pic>
              </a:graphicData>
            </a:graphic>
          </wp:inline>
        </w:drawing>
      </w:r>
    </w:p>
    <w:p w14:paraId="55B53C71" w14:textId="77777777" w:rsidR="00A733DC" w:rsidRPr="00065E67" w:rsidRDefault="00A733DC" w:rsidP="00065E67">
      <w:pPr>
        <w:pStyle w:val="Brdtext"/>
        <w:spacing w:before="102" w:line="264" w:lineRule="auto"/>
        <w:ind w:left="118" w:right="328"/>
        <w:rPr>
          <w:lang w:val="sv-SE"/>
        </w:rPr>
      </w:pPr>
    </w:p>
    <w:p w14:paraId="7F6B4A12" w14:textId="1EBE707F" w:rsidR="007818DA" w:rsidRPr="007818DA" w:rsidRDefault="007348CD" w:rsidP="007818DA">
      <w:pPr>
        <w:pStyle w:val="Brdtext"/>
        <w:ind w:left="118"/>
      </w:pPr>
      <w:r>
        <w:rPr>
          <w:u w:val="single"/>
        </w:rPr>
        <w:t>Sensitivity analysis for interest rate risk</w:t>
      </w:r>
    </w:p>
    <w:p w14:paraId="3C64F69B" w14:textId="3723D944" w:rsidR="00EF4370" w:rsidRDefault="007348CD" w:rsidP="007818DA">
      <w:pPr>
        <w:pStyle w:val="Brdtext"/>
        <w:spacing w:before="107" w:line="264" w:lineRule="auto"/>
        <w:ind w:left="118" w:right="463"/>
      </w:pPr>
      <w:r w:rsidRPr="007348CD">
        <w:t xml:space="preserve">The sensitivity analysis for interest rate risk shows the Group's sensitivity to an increase or decrease of 50 basis points. The Group's interest-bearing liabilities with variable interest rates consist mainly of outstanding bond loans of SEK 400 million and the utilized Nordea facility. If the interest rate </w:t>
      </w:r>
      <w:r w:rsidR="002A0C3B">
        <w:t>increases</w:t>
      </w:r>
      <w:r w:rsidRPr="007348CD">
        <w:t xml:space="preserve"> by 50 basis points, the Group's profit after tax would decrease by SEK 1.9 million.</w:t>
      </w:r>
    </w:p>
    <w:p w14:paraId="7552C5EA" w14:textId="77777777" w:rsidR="00EF4370" w:rsidRDefault="00EF4370">
      <w:pPr>
        <w:rPr>
          <w:sz w:val="18"/>
          <w:szCs w:val="18"/>
        </w:rPr>
      </w:pPr>
      <w:r>
        <w:br w:type="page"/>
      </w:r>
    </w:p>
    <w:p w14:paraId="3C64F69C" w14:textId="4AE1474F" w:rsidR="00987DAC" w:rsidRPr="00447E5E" w:rsidRDefault="00016B4C">
      <w:pPr>
        <w:pStyle w:val="Rubrik8"/>
      </w:pPr>
      <w:r w:rsidRPr="00447E5E">
        <w:lastRenderedPageBreak/>
        <w:t>Liquidity</w:t>
      </w:r>
      <w:r w:rsidRPr="00447E5E">
        <w:rPr>
          <w:spacing w:val="-2"/>
        </w:rPr>
        <w:t xml:space="preserve"> </w:t>
      </w:r>
      <w:r w:rsidRPr="00447E5E">
        <w:t>and</w:t>
      </w:r>
      <w:r w:rsidRPr="00447E5E">
        <w:rPr>
          <w:spacing w:val="-4"/>
        </w:rPr>
        <w:t xml:space="preserve"> </w:t>
      </w:r>
      <w:r w:rsidRPr="00447E5E">
        <w:t>financing</w:t>
      </w:r>
      <w:r w:rsidRPr="00447E5E">
        <w:rPr>
          <w:spacing w:val="-1"/>
        </w:rPr>
        <w:t xml:space="preserve"> </w:t>
      </w:r>
      <w:r w:rsidRPr="00447E5E">
        <w:rPr>
          <w:spacing w:val="-4"/>
        </w:rPr>
        <w:t>risk</w:t>
      </w:r>
      <w:r w:rsidR="00356A3F">
        <w:rPr>
          <w:spacing w:val="-4"/>
        </w:rPr>
        <w:br/>
      </w:r>
    </w:p>
    <w:p w14:paraId="3C64F69E" w14:textId="6EE58107" w:rsidR="00987DAC" w:rsidRPr="00447E5E" w:rsidRDefault="00D2778D">
      <w:pPr>
        <w:pStyle w:val="Brdtext"/>
        <w:spacing w:line="261" w:lineRule="auto"/>
        <w:ind w:left="118"/>
      </w:pPr>
      <w:r w:rsidRPr="00447E5E">
        <w:t>Liquidity risk refers to the risk that the Group will have problems meeting its obligations related to the Group's financial liabilities. Financing risk refers to the risk that the Group will not be able to raise sufficient financing at a reasonable cost. In order to reduce liquidity and financing risk, the Board instructs the Group's management team to continuously report on the Group's financial position and to prepare a rolling forecast of the cash position on a 6, 12 and 24-month basis. In such an analysis, liquidity shall amount to a certain level in relation to the size of the company. Within the framework of the Group's covered bonds, JumpYard may, provided that certain conditions are met, issue additional bonds amounting to a nominal amount of SEK 200 million in total and may borrow additional funds within the framework of the credit facility with Nordea. In order for JumpYard to be able to issue more bonds, it is required (in addition to market demand) that the Group meets a so-called "incurrence test", which means that net debt must be less than 3.5 times adjusted EBITDA. The terms of the bond and the agreement with Nordea contain certain restrictions. The bond terms allow JumpYard to borrow up to the higher of SEK 75 million and 0.5 times the adjusted EBITDA level over a rolling 12 months from Nordea. However, according to the agreement with Nordea, the borrowing opportunity from Nordea is limited to an amount corresponding to 1.0 times adjusted EBITDA, but not more than SEK 75 million. As of 31 December 2024, the facility was completely unused. The Group is continuously working to optimize inflows and outflows to reduce liquidity risk. In the longer term, there is a risk when the Group's bond matures in 2027 if JumpYard is unable to refinance on favorable terms at that time.</w:t>
      </w:r>
    </w:p>
    <w:p w14:paraId="3C64F69F" w14:textId="77777777" w:rsidR="00987DAC" w:rsidRPr="00447E5E" w:rsidRDefault="00987DAC">
      <w:pPr>
        <w:pStyle w:val="Brdtext"/>
        <w:spacing w:before="24"/>
      </w:pPr>
    </w:p>
    <w:p w14:paraId="3C64F6A1" w14:textId="4AEB52F6" w:rsidR="00987DAC" w:rsidRPr="00447E5E" w:rsidRDefault="00447E5E" w:rsidP="00447E5E">
      <w:pPr>
        <w:pStyle w:val="Brdtext"/>
        <w:spacing w:line="264" w:lineRule="auto"/>
        <w:ind w:left="118" w:right="446"/>
      </w:pPr>
      <w:r w:rsidRPr="00447E5E">
        <w:t>The Group's bond loan matures in October 2027, interest is paid quarterly and the nominal debt of SEK 400 million is fully repaid at the end of the term in October 2027. The terms of the bonds limit the Group's ability to pay dividends and raise new loans. Furthermore, the Group has provided collateral in the form of pledged shares in subsidiaries, as well as pledged intra-group loans and receivables. With regard to the facility with Nordea, interest is paid quarterly.</w:t>
      </w:r>
    </w:p>
    <w:p w14:paraId="4B013FE2" w14:textId="77777777" w:rsidR="00447E5E" w:rsidRPr="00447E5E" w:rsidRDefault="00447E5E" w:rsidP="00447E5E">
      <w:pPr>
        <w:pStyle w:val="Brdtext"/>
        <w:spacing w:line="264" w:lineRule="auto"/>
        <w:ind w:left="118" w:right="446"/>
      </w:pPr>
    </w:p>
    <w:p w14:paraId="3C64F6A2" w14:textId="571AEC19" w:rsidR="00987DAC" w:rsidRDefault="00447E5E">
      <w:pPr>
        <w:pStyle w:val="Brdtext"/>
        <w:spacing w:line="264" w:lineRule="auto"/>
        <w:ind w:left="118" w:right="446"/>
      </w:pPr>
      <w:r w:rsidRPr="00447E5E">
        <w:t xml:space="preserve">The maturity distribution of contractual payment obligations related to the Group's financial liabilities is presented in the tables below. The amounts in </w:t>
      </w:r>
      <w:r w:rsidR="007823B5">
        <w:t>below</w:t>
      </w:r>
      <w:r w:rsidRPr="00447E5E">
        <w:t xml:space="preserve"> tables are not discounted values. Amounts in foreign currency are translated into thousands of Swedish kronor at the exchange rates on the balance sheet date. The liquidity risk is mainly covered by cash and cash equivalents</w:t>
      </w:r>
    </w:p>
    <w:p w14:paraId="45267C19" w14:textId="77777777" w:rsidR="00E35F9A" w:rsidRDefault="00E35F9A">
      <w:pPr>
        <w:pStyle w:val="Brdtext"/>
        <w:spacing w:line="264" w:lineRule="auto"/>
        <w:ind w:left="118" w:right="446"/>
      </w:pPr>
    </w:p>
    <w:p w14:paraId="004BED97" w14:textId="35C6D5C5" w:rsidR="00C008E9" w:rsidRDefault="00B7764C">
      <w:pPr>
        <w:pStyle w:val="Brdtext"/>
        <w:spacing w:line="264" w:lineRule="auto"/>
        <w:ind w:left="118" w:right="446"/>
      </w:pPr>
      <w:r w:rsidRPr="00B7764C">
        <w:rPr>
          <w:noProof/>
        </w:rPr>
        <w:drawing>
          <wp:inline distT="0" distB="0" distL="0" distR="0" wp14:anchorId="6AA3ECAC" wp14:editId="075987ED">
            <wp:extent cx="5837529" cy="3380675"/>
            <wp:effectExtent l="0" t="0" r="0" b="0"/>
            <wp:docPr id="2059571397"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9435" cy="3387570"/>
                    </a:xfrm>
                    <a:prstGeom prst="rect">
                      <a:avLst/>
                    </a:prstGeom>
                    <a:noFill/>
                    <a:ln>
                      <a:noFill/>
                    </a:ln>
                  </pic:spPr>
                </pic:pic>
              </a:graphicData>
            </a:graphic>
          </wp:inline>
        </w:drawing>
      </w:r>
    </w:p>
    <w:p w14:paraId="20511A7C" w14:textId="77777777" w:rsidR="00E35F9A" w:rsidRPr="00447E5E" w:rsidRDefault="00E35F9A">
      <w:pPr>
        <w:pStyle w:val="Brdtext"/>
        <w:spacing w:line="264" w:lineRule="auto"/>
        <w:ind w:left="118" w:right="446"/>
      </w:pPr>
    </w:p>
    <w:p w14:paraId="3C64F6A3" w14:textId="77777777" w:rsidR="00987DAC" w:rsidRPr="00447E5E" w:rsidRDefault="00987DAC">
      <w:pPr>
        <w:spacing w:line="264" w:lineRule="auto"/>
        <w:sectPr w:rsidR="00987DAC" w:rsidRPr="00447E5E">
          <w:pgSz w:w="11910" w:h="16840"/>
          <w:pgMar w:top="1420" w:right="980" w:bottom="900" w:left="1300" w:header="512" w:footer="719" w:gutter="0"/>
          <w:cols w:space="720"/>
        </w:sectPr>
      </w:pPr>
    </w:p>
    <w:p w14:paraId="3C64F755" w14:textId="77777777" w:rsidR="00987DAC" w:rsidRPr="00A503D6" w:rsidRDefault="00016B4C">
      <w:pPr>
        <w:pStyle w:val="Rubrik8"/>
        <w:spacing w:before="1"/>
      </w:pPr>
      <w:r w:rsidRPr="00A503D6">
        <w:lastRenderedPageBreak/>
        <w:t>Credit</w:t>
      </w:r>
      <w:r w:rsidRPr="00A503D6">
        <w:rPr>
          <w:spacing w:val="-6"/>
        </w:rPr>
        <w:t xml:space="preserve"> </w:t>
      </w:r>
      <w:r w:rsidRPr="00A503D6">
        <w:t>and</w:t>
      </w:r>
      <w:r w:rsidRPr="00A503D6">
        <w:rPr>
          <w:spacing w:val="-5"/>
        </w:rPr>
        <w:t xml:space="preserve"> </w:t>
      </w:r>
      <w:r w:rsidRPr="00A503D6">
        <w:t>counterparty</w:t>
      </w:r>
      <w:r w:rsidRPr="00A503D6">
        <w:rPr>
          <w:spacing w:val="-3"/>
        </w:rPr>
        <w:t xml:space="preserve"> </w:t>
      </w:r>
      <w:r w:rsidRPr="00A503D6">
        <w:rPr>
          <w:spacing w:val="-4"/>
        </w:rPr>
        <w:t>risk</w:t>
      </w:r>
    </w:p>
    <w:p w14:paraId="3C64F757" w14:textId="6A90D3B8" w:rsidR="00987DAC" w:rsidRPr="00A503D6" w:rsidRDefault="00CC2DAC" w:rsidP="00EA6065">
      <w:pPr>
        <w:pStyle w:val="Brdtext"/>
        <w:spacing w:line="261" w:lineRule="auto"/>
        <w:ind w:left="118"/>
      </w:pPr>
      <w:r w:rsidRPr="00A503D6">
        <w:t>Credit risk refers to the risk that the counterparty to a transaction will cause the Group a loss by not fulfilling its contractual obligations.</w:t>
      </w:r>
    </w:p>
    <w:p w14:paraId="015A4436" w14:textId="77777777" w:rsidR="00CC2DAC" w:rsidRPr="00A503D6" w:rsidRDefault="00CC2DAC" w:rsidP="00EA6065">
      <w:pPr>
        <w:pStyle w:val="Brdtext"/>
        <w:spacing w:line="261" w:lineRule="auto"/>
        <w:ind w:left="118"/>
      </w:pPr>
    </w:p>
    <w:p w14:paraId="7DFA1876" w14:textId="77777777" w:rsidR="00E42BA3" w:rsidRPr="00A503D6" w:rsidRDefault="00E42BA3" w:rsidP="00EA6065">
      <w:pPr>
        <w:pStyle w:val="Brdtext"/>
        <w:spacing w:line="261" w:lineRule="auto"/>
        <w:ind w:left="118"/>
      </w:pPr>
      <w:r w:rsidRPr="00A503D6">
        <w:t>The Group's exposure to operational credit risk is mainly attributable to accounts receivable. The simplified model is used to calculate the credit losses on the Group's accounts receivable. The expected credit losses for accounts receivable are calculated based on past events, current conditions and forecasts for future economic conditions. Historically, the Group's credit losses have amounted to insignificant amounts.</w:t>
      </w:r>
    </w:p>
    <w:p w14:paraId="3A55E489" w14:textId="77777777" w:rsidR="00E42BA3" w:rsidRPr="00A503D6" w:rsidRDefault="00E42BA3" w:rsidP="00EA6065">
      <w:pPr>
        <w:pStyle w:val="Brdtext"/>
        <w:spacing w:line="261" w:lineRule="auto"/>
        <w:ind w:left="118"/>
      </w:pPr>
    </w:p>
    <w:p w14:paraId="3C64F75A" w14:textId="5D894626" w:rsidR="00987DAC" w:rsidRDefault="00E42BA3" w:rsidP="00EA6065">
      <w:pPr>
        <w:pStyle w:val="Brdtext"/>
        <w:spacing w:line="261" w:lineRule="auto"/>
        <w:ind w:left="118"/>
      </w:pPr>
      <w:r w:rsidRPr="00A503D6">
        <w:t>The accounts receivable are spread over a large number of customers. The accounts receivable are not concentrated in a specific geographical area. The Group therefore assesses that the concentration risks are limited.</w:t>
      </w:r>
    </w:p>
    <w:p w14:paraId="08C620E6" w14:textId="77777777" w:rsidR="0047439C" w:rsidRDefault="0047439C" w:rsidP="00EA6065">
      <w:pPr>
        <w:pStyle w:val="Brdtext"/>
        <w:spacing w:line="261" w:lineRule="auto"/>
        <w:ind w:left="118"/>
      </w:pPr>
    </w:p>
    <w:p w14:paraId="02889D30" w14:textId="2236B2A4" w:rsidR="0047439C" w:rsidRPr="00A503D6" w:rsidRDefault="00DF5D00" w:rsidP="00EA6065">
      <w:pPr>
        <w:pStyle w:val="Brdtext"/>
        <w:spacing w:line="261" w:lineRule="auto"/>
        <w:ind w:left="118"/>
      </w:pPr>
      <w:r w:rsidRPr="00DF5D00">
        <w:t>The liquidity risk is considered low because the bank used is Nordea, which has a high rating.</w:t>
      </w:r>
    </w:p>
    <w:p w14:paraId="379F8FDC" w14:textId="77777777" w:rsidR="00A503D6" w:rsidRPr="00A503D6" w:rsidRDefault="00A503D6" w:rsidP="00EA6065">
      <w:pPr>
        <w:pStyle w:val="Brdtext"/>
        <w:spacing w:line="261" w:lineRule="auto"/>
        <w:ind w:left="118"/>
      </w:pPr>
    </w:p>
    <w:p w14:paraId="3C64F75B" w14:textId="399A34E2" w:rsidR="00987DAC" w:rsidRDefault="00A503D6">
      <w:pPr>
        <w:pStyle w:val="Brdtext"/>
        <w:ind w:left="118"/>
        <w:rPr>
          <w:spacing w:val="-2"/>
        </w:rPr>
      </w:pPr>
      <w:r w:rsidRPr="00A503D6">
        <w:t>The Group's credit exposure regarding financial instruments is shown below</w:t>
      </w:r>
      <w:r w:rsidR="00016B4C" w:rsidRPr="00A503D6">
        <w:rPr>
          <w:spacing w:val="-2"/>
        </w:rPr>
        <w:t>.</w:t>
      </w:r>
    </w:p>
    <w:p w14:paraId="34C13B26" w14:textId="77777777" w:rsidR="00665ADF" w:rsidRPr="00A503D6" w:rsidRDefault="00665ADF">
      <w:pPr>
        <w:pStyle w:val="Brdtext"/>
        <w:ind w:left="118"/>
        <w:rPr>
          <w:spacing w:val="-2"/>
        </w:rPr>
      </w:pPr>
    </w:p>
    <w:p w14:paraId="3AFEAF68" w14:textId="409E95C5" w:rsidR="00E42BA3" w:rsidRPr="00A503D6" w:rsidRDefault="00A92496">
      <w:pPr>
        <w:pStyle w:val="Brdtext"/>
        <w:ind w:left="118"/>
      </w:pPr>
      <w:r w:rsidRPr="00A92496">
        <w:rPr>
          <w:noProof/>
        </w:rPr>
        <w:drawing>
          <wp:inline distT="0" distB="0" distL="0" distR="0" wp14:anchorId="39159214" wp14:editId="35FD96B8">
            <wp:extent cx="6115050" cy="1322705"/>
            <wp:effectExtent l="0" t="0" r="0" b="0"/>
            <wp:docPr id="211232766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1322705"/>
                    </a:xfrm>
                    <a:prstGeom prst="rect">
                      <a:avLst/>
                    </a:prstGeom>
                    <a:noFill/>
                    <a:ln>
                      <a:noFill/>
                    </a:ln>
                  </pic:spPr>
                </pic:pic>
              </a:graphicData>
            </a:graphic>
          </wp:inline>
        </w:drawing>
      </w:r>
    </w:p>
    <w:p w14:paraId="30E31B53" w14:textId="77777777" w:rsidR="00402EE0" w:rsidRPr="00A92496" w:rsidRDefault="00402EE0" w:rsidP="00A503D6">
      <w:pPr>
        <w:pStyle w:val="Brdtext"/>
        <w:ind w:left="118"/>
      </w:pPr>
    </w:p>
    <w:p w14:paraId="3C64F77B" w14:textId="77777777" w:rsidR="00987DAC" w:rsidRPr="00A92496" w:rsidRDefault="00987DAC" w:rsidP="00A503D6">
      <w:pPr>
        <w:pStyle w:val="Brdtext"/>
        <w:ind w:left="118"/>
        <w:sectPr w:rsidR="00987DAC" w:rsidRPr="00A92496">
          <w:pgSz w:w="11910" w:h="16840"/>
          <w:pgMar w:top="1420" w:right="980" w:bottom="900" w:left="1300" w:header="512" w:footer="719" w:gutter="0"/>
          <w:cols w:space="720"/>
        </w:sectPr>
      </w:pPr>
    </w:p>
    <w:p w14:paraId="3C64F77F" w14:textId="77777777" w:rsidR="00987DAC" w:rsidRPr="008610F3" w:rsidRDefault="00016B4C">
      <w:pPr>
        <w:pStyle w:val="Rubrik8"/>
      </w:pPr>
      <w:r w:rsidRPr="008610F3">
        <w:lastRenderedPageBreak/>
        <w:t>Categorisation</w:t>
      </w:r>
      <w:r w:rsidRPr="008610F3">
        <w:rPr>
          <w:spacing w:val="-13"/>
        </w:rPr>
        <w:t xml:space="preserve"> </w:t>
      </w:r>
      <w:r w:rsidRPr="008610F3">
        <w:t>of</w:t>
      </w:r>
      <w:r w:rsidRPr="008610F3">
        <w:rPr>
          <w:spacing w:val="-12"/>
        </w:rPr>
        <w:t xml:space="preserve"> </w:t>
      </w:r>
      <w:r w:rsidRPr="008610F3">
        <w:t>financial</w:t>
      </w:r>
      <w:r w:rsidRPr="008610F3">
        <w:rPr>
          <w:spacing w:val="-13"/>
        </w:rPr>
        <w:t xml:space="preserve"> </w:t>
      </w:r>
      <w:r w:rsidRPr="008610F3">
        <w:rPr>
          <w:spacing w:val="-2"/>
        </w:rPr>
        <w:t>instruments</w:t>
      </w:r>
    </w:p>
    <w:p w14:paraId="3C64F780" w14:textId="77777777" w:rsidR="00987DAC" w:rsidRPr="00A06BA0" w:rsidRDefault="00016B4C" w:rsidP="00A06BA0">
      <w:pPr>
        <w:pStyle w:val="Brdtext"/>
        <w:spacing w:before="101" w:line="264" w:lineRule="auto"/>
        <w:ind w:left="118" w:right="328"/>
        <w:rPr>
          <w:lang w:val="sv-SE"/>
        </w:rPr>
      </w:pPr>
      <w:r w:rsidRPr="008610F3">
        <w:t>Carrying</w:t>
      </w:r>
      <w:r w:rsidRPr="008610F3">
        <w:rPr>
          <w:spacing w:val="-3"/>
        </w:rPr>
        <w:t xml:space="preserve"> </w:t>
      </w:r>
      <w:r w:rsidRPr="008610F3">
        <w:t>amounts</w:t>
      </w:r>
      <w:r w:rsidRPr="008610F3">
        <w:rPr>
          <w:spacing w:val="-2"/>
        </w:rPr>
        <w:t xml:space="preserve"> </w:t>
      </w:r>
      <w:r w:rsidRPr="008610F3">
        <w:t>of</w:t>
      </w:r>
      <w:r w:rsidRPr="008610F3">
        <w:rPr>
          <w:spacing w:val="-3"/>
        </w:rPr>
        <w:t xml:space="preserve"> </w:t>
      </w:r>
      <w:r w:rsidRPr="008610F3">
        <w:t>financial</w:t>
      </w:r>
      <w:r w:rsidRPr="008610F3">
        <w:rPr>
          <w:spacing w:val="-5"/>
        </w:rPr>
        <w:t xml:space="preserve"> </w:t>
      </w:r>
      <w:r w:rsidRPr="008610F3">
        <w:t>assets</w:t>
      </w:r>
      <w:r w:rsidRPr="008610F3">
        <w:rPr>
          <w:spacing w:val="-4"/>
        </w:rPr>
        <w:t xml:space="preserve"> </w:t>
      </w:r>
      <w:r w:rsidRPr="008610F3">
        <w:t>and</w:t>
      </w:r>
      <w:r w:rsidRPr="008610F3">
        <w:rPr>
          <w:spacing w:val="-5"/>
        </w:rPr>
        <w:t xml:space="preserve"> </w:t>
      </w:r>
      <w:r w:rsidRPr="008610F3">
        <w:t>financial</w:t>
      </w:r>
      <w:r w:rsidRPr="008610F3">
        <w:rPr>
          <w:spacing w:val="-5"/>
        </w:rPr>
        <w:t xml:space="preserve"> </w:t>
      </w:r>
      <w:r w:rsidRPr="008610F3">
        <w:t>liabilities</w:t>
      </w:r>
      <w:r w:rsidRPr="008610F3">
        <w:rPr>
          <w:spacing w:val="-4"/>
        </w:rPr>
        <w:t xml:space="preserve"> </w:t>
      </w:r>
      <w:r w:rsidRPr="008610F3">
        <w:t>allocated</w:t>
      </w:r>
      <w:r w:rsidRPr="008610F3">
        <w:rPr>
          <w:spacing w:val="-3"/>
        </w:rPr>
        <w:t xml:space="preserve"> </w:t>
      </w:r>
      <w:r w:rsidRPr="008610F3">
        <w:t>by</w:t>
      </w:r>
      <w:r w:rsidRPr="008610F3">
        <w:rPr>
          <w:spacing w:val="-2"/>
        </w:rPr>
        <w:t xml:space="preserve"> </w:t>
      </w:r>
      <w:r w:rsidRPr="008610F3">
        <w:t>measurement</w:t>
      </w:r>
      <w:r w:rsidRPr="008610F3">
        <w:rPr>
          <w:spacing w:val="-5"/>
        </w:rPr>
        <w:t xml:space="preserve"> </w:t>
      </w:r>
      <w:r w:rsidRPr="008610F3">
        <w:t>category</w:t>
      </w:r>
      <w:r w:rsidRPr="008610F3">
        <w:rPr>
          <w:spacing w:val="-5"/>
        </w:rPr>
        <w:t xml:space="preserve"> </w:t>
      </w:r>
      <w:r w:rsidRPr="008610F3">
        <w:t>in</w:t>
      </w:r>
      <w:r w:rsidRPr="008610F3">
        <w:rPr>
          <w:spacing w:val="-5"/>
        </w:rPr>
        <w:t xml:space="preserve"> </w:t>
      </w:r>
      <w:r w:rsidRPr="008610F3">
        <w:t xml:space="preserve">accordance </w:t>
      </w:r>
      <w:r w:rsidRPr="00A06BA0">
        <w:rPr>
          <w:lang w:val="sv-SE"/>
        </w:rPr>
        <w:t>with IFRS 9.</w:t>
      </w:r>
    </w:p>
    <w:p w14:paraId="3C64F781" w14:textId="77777777" w:rsidR="00987DAC" w:rsidRPr="00584F3C" w:rsidRDefault="00987DAC" w:rsidP="00A06BA0">
      <w:pPr>
        <w:pStyle w:val="Brdtext"/>
        <w:spacing w:before="101" w:line="264" w:lineRule="auto"/>
        <w:ind w:left="118" w:right="328"/>
        <w:rPr>
          <w:sz w:val="10"/>
          <w:szCs w:val="10"/>
          <w:lang w:val="sv-SE"/>
        </w:rPr>
      </w:pPr>
    </w:p>
    <w:p w14:paraId="3ADDC85A" w14:textId="552C0AE6" w:rsidR="005E49B3" w:rsidRDefault="007050E3" w:rsidP="008610F3">
      <w:pPr>
        <w:pStyle w:val="Brdtext"/>
        <w:spacing w:before="101" w:line="264" w:lineRule="auto"/>
        <w:ind w:left="118" w:right="516"/>
      </w:pPr>
      <w:r w:rsidRPr="007050E3">
        <w:rPr>
          <w:noProof/>
        </w:rPr>
        <w:drawing>
          <wp:inline distT="0" distB="0" distL="0" distR="0" wp14:anchorId="0B466512" wp14:editId="61584F9D">
            <wp:extent cx="5188050" cy="8280806"/>
            <wp:effectExtent l="0" t="0" r="0" b="6350"/>
            <wp:docPr id="294456559"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89078" cy="8282447"/>
                    </a:xfrm>
                    <a:prstGeom prst="rect">
                      <a:avLst/>
                    </a:prstGeom>
                    <a:noFill/>
                    <a:ln>
                      <a:noFill/>
                    </a:ln>
                  </pic:spPr>
                </pic:pic>
              </a:graphicData>
            </a:graphic>
          </wp:inline>
        </w:drawing>
      </w:r>
    </w:p>
    <w:p w14:paraId="0BB12DD9" w14:textId="77777777" w:rsidR="008610F3" w:rsidRPr="008610F3" w:rsidRDefault="008610F3" w:rsidP="008610F3">
      <w:pPr>
        <w:pStyle w:val="Brdtext"/>
        <w:spacing w:before="101" w:line="264" w:lineRule="auto"/>
        <w:ind w:left="118" w:right="516"/>
      </w:pPr>
    </w:p>
    <w:p w14:paraId="3C64F83B" w14:textId="77777777" w:rsidR="00987DAC" w:rsidRPr="008610F3" w:rsidRDefault="00987DAC" w:rsidP="008610F3">
      <w:pPr>
        <w:pStyle w:val="Brdtext"/>
        <w:spacing w:before="101" w:line="264" w:lineRule="auto"/>
        <w:ind w:left="118" w:right="516"/>
        <w:sectPr w:rsidR="00987DAC" w:rsidRPr="008610F3">
          <w:pgSz w:w="11910" w:h="16840"/>
          <w:pgMar w:top="1420" w:right="980" w:bottom="900" w:left="1300" w:header="512" w:footer="719" w:gutter="0"/>
          <w:cols w:space="720"/>
        </w:sectPr>
      </w:pPr>
    </w:p>
    <w:p w14:paraId="3C64F83F" w14:textId="77777777" w:rsidR="00987DAC" w:rsidRPr="00E86B4E" w:rsidRDefault="00016B4C">
      <w:pPr>
        <w:pStyle w:val="Rubrik8"/>
      </w:pPr>
      <w:r w:rsidRPr="00E86B4E">
        <w:lastRenderedPageBreak/>
        <w:t>Measurement</w:t>
      </w:r>
      <w:r w:rsidRPr="00E86B4E">
        <w:rPr>
          <w:spacing w:val="-11"/>
        </w:rPr>
        <w:t xml:space="preserve"> </w:t>
      </w:r>
      <w:r w:rsidRPr="00E86B4E">
        <w:t>of</w:t>
      </w:r>
      <w:r w:rsidRPr="00E86B4E">
        <w:rPr>
          <w:spacing w:val="-10"/>
        </w:rPr>
        <w:t xml:space="preserve"> </w:t>
      </w:r>
      <w:r w:rsidRPr="00E86B4E">
        <w:t>financial</w:t>
      </w:r>
      <w:r w:rsidRPr="00E86B4E">
        <w:rPr>
          <w:spacing w:val="-9"/>
        </w:rPr>
        <w:t xml:space="preserve"> </w:t>
      </w:r>
      <w:r w:rsidRPr="00E86B4E">
        <w:t>instruments</w:t>
      </w:r>
      <w:r w:rsidRPr="00E86B4E">
        <w:rPr>
          <w:spacing w:val="-11"/>
        </w:rPr>
        <w:t xml:space="preserve"> </w:t>
      </w:r>
      <w:r w:rsidRPr="00E86B4E">
        <w:t>at</w:t>
      </w:r>
      <w:r w:rsidRPr="00E86B4E">
        <w:rPr>
          <w:spacing w:val="-9"/>
        </w:rPr>
        <w:t xml:space="preserve"> </w:t>
      </w:r>
      <w:r w:rsidRPr="00E86B4E">
        <w:t>fair</w:t>
      </w:r>
      <w:r w:rsidRPr="00E86B4E">
        <w:rPr>
          <w:spacing w:val="-12"/>
        </w:rPr>
        <w:t xml:space="preserve"> </w:t>
      </w:r>
      <w:r w:rsidRPr="00E86B4E">
        <w:rPr>
          <w:spacing w:val="-2"/>
        </w:rPr>
        <w:t>value</w:t>
      </w:r>
    </w:p>
    <w:p w14:paraId="3C64F840" w14:textId="77777777" w:rsidR="00987DAC" w:rsidRPr="00E86B4E" w:rsidRDefault="00016B4C">
      <w:pPr>
        <w:pStyle w:val="Brdtext"/>
        <w:spacing w:before="101" w:line="264" w:lineRule="auto"/>
        <w:ind w:left="118"/>
      </w:pPr>
      <w:r w:rsidRPr="00E86B4E">
        <w:t>Financial</w:t>
      </w:r>
      <w:r w:rsidRPr="00E86B4E">
        <w:rPr>
          <w:spacing w:val="-1"/>
        </w:rPr>
        <w:t xml:space="preserve"> </w:t>
      </w:r>
      <w:r w:rsidRPr="00E86B4E">
        <w:t>assets</w:t>
      </w:r>
      <w:r w:rsidRPr="00E86B4E">
        <w:rPr>
          <w:spacing w:val="-2"/>
        </w:rPr>
        <w:t xml:space="preserve"> </w:t>
      </w:r>
      <w:r w:rsidRPr="00E86B4E">
        <w:t>and</w:t>
      </w:r>
      <w:r w:rsidRPr="00E86B4E">
        <w:rPr>
          <w:spacing w:val="-3"/>
        </w:rPr>
        <w:t xml:space="preserve"> </w:t>
      </w:r>
      <w:r w:rsidRPr="00E86B4E">
        <w:t>financial</w:t>
      </w:r>
      <w:r w:rsidRPr="00E86B4E">
        <w:rPr>
          <w:spacing w:val="-3"/>
        </w:rPr>
        <w:t xml:space="preserve"> </w:t>
      </w:r>
      <w:r w:rsidRPr="00E86B4E">
        <w:t>liabilities</w:t>
      </w:r>
      <w:r w:rsidRPr="00E86B4E">
        <w:rPr>
          <w:spacing w:val="-2"/>
        </w:rPr>
        <w:t xml:space="preserve"> </w:t>
      </w:r>
      <w:r w:rsidRPr="00E86B4E">
        <w:t>that</w:t>
      </w:r>
      <w:r w:rsidRPr="00E86B4E">
        <w:rPr>
          <w:spacing w:val="-3"/>
        </w:rPr>
        <w:t xml:space="preserve"> </w:t>
      </w:r>
      <w:r w:rsidRPr="00E86B4E">
        <w:t>are</w:t>
      </w:r>
      <w:r w:rsidRPr="00E86B4E">
        <w:rPr>
          <w:spacing w:val="-3"/>
        </w:rPr>
        <w:t xml:space="preserve"> </w:t>
      </w:r>
      <w:r w:rsidRPr="00E86B4E">
        <w:t>measured</w:t>
      </w:r>
      <w:r w:rsidRPr="00E86B4E">
        <w:rPr>
          <w:spacing w:val="-1"/>
        </w:rPr>
        <w:t xml:space="preserve"> </w:t>
      </w:r>
      <w:r w:rsidRPr="00E86B4E">
        <w:t>at</w:t>
      </w:r>
      <w:r w:rsidRPr="00E86B4E">
        <w:rPr>
          <w:spacing w:val="-3"/>
        </w:rPr>
        <w:t xml:space="preserve"> </w:t>
      </w:r>
      <w:r w:rsidRPr="00E86B4E">
        <w:t>fair</w:t>
      </w:r>
      <w:r w:rsidRPr="00E86B4E">
        <w:rPr>
          <w:spacing w:val="-1"/>
        </w:rPr>
        <w:t xml:space="preserve"> </w:t>
      </w:r>
      <w:r w:rsidRPr="00E86B4E">
        <w:t>value</w:t>
      </w:r>
      <w:r w:rsidRPr="00E86B4E">
        <w:rPr>
          <w:spacing w:val="-3"/>
        </w:rPr>
        <w:t xml:space="preserve"> </w:t>
      </w:r>
      <w:r w:rsidRPr="00E86B4E">
        <w:t>on</w:t>
      </w:r>
      <w:r w:rsidRPr="00E86B4E">
        <w:rPr>
          <w:spacing w:val="-3"/>
        </w:rPr>
        <w:t xml:space="preserve"> </w:t>
      </w:r>
      <w:r w:rsidRPr="00E86B4E">
        <w:t>the</w:t>
      </w:r>
      <w:r w:rsidRPr="00E86B4E">
        <w:rPr>
          <w:spacing w:val="-3"/>
        </w:rPr>
        <w:t xml:space="preserve"> </w:t>
      </w:r>
      <w:r w:rsidRPr="00E86B4E">
        <w:t>balance</w:t>
      </w:r>
      <w:r w:rsidRPr="00E86B4E">
        <w:rPr>
          <w:spacing w:val="-1"/>
        </w:rPr>
        <w:t xml:space="preserve"> </w:t>
      </w:r>
      <w:r w:rsidRPr="00E86B4E">
        <w:t>sheet,</w:t>
      </w:r>
      <w:r w:rsidRPr="00E86B4E">
        <w:rPr>
          <w:spacing w:val="-3"/>
        </w:rPr>
        <w:t xml:space="preserve"> </w:t>
      </w:r>
      <w:r w:rsidRPr="00E86B4E">
        <w:t>or</w:t>
      </w:r>
      <w:r w:rsidRPr="00E86B4E">
        <w:rPr>
          <w:spacing w:val="-1"/>
        </w:rPr>
        <w:t xml:space="preserve"> </w:t>
      </w:r>
      <w:r w:rsidRPr="00E86B4E">
        <w:t>where</w:t>
      </w:r>
      <w:r w:rsidRPr="00E86B4E">
        <w:rPr>
          <w:spacing w:val="-3"/>
        </w:rPr>
        <w:t xml:space="preserve"> </w:t>
      </w:r>
      <w:r w:rsidRPr="00E86B4E">
        <w:t>fair</w:t>
      </w:r>
      <w:r w:rsidRPr="00E86B4E">
        <w:rPr>
          <w:spacing w:val="-3"/>
        </w:rPr>
        <w:t xml:space="preserve"> </w:t>
      </w:r>
      <w:r w:rsidRPr="00E86B4E">
        <w:t>value</w:t>
      </w:r>
      <w:r w:rsidRPr="00E86B4E">
        <w:rPr>
          <w:spacing w:val="-3"/>
        </w:rPr>
        <w:t xml:space="preserve"> </w:t>
      </w:r>
      <w:r w:rsidRPr="00E86B4E">
        <w:t>is disclosed, are classified at any of three levels based on the information used to determine the fair value.</w:t>
      </w:r>
    </w:p>
    <w:p w14:paraId="3C64F841" w14:textId="77777777" w:rsidR="00987DAC" w:rsidRPr="00E86B4E" w:rsidRDefault="00987DAC">
      <w:pPr>
        <w:pStyle w:val="Brdtext"/>
        <w:spacing w:before="19"/>
      </w:pPr>
    </w:p>
    <w:p w14:paraId="3C64F842" w14:textId="77777777" w:rsidR="00987DAC" w:rsidRPr="00E86B4E" w:rsidRDefault="00016B4C">
      <w:pPr>
        <w:pStyle w:val="Brdtext"/>
        <w:spacing w:line="264" w:lineRule="auto"/>
        <w:ind w:left="118" w:right="442"/>
      </w:pPr>
      <w:r w:rsidRPr="00E86B4E">
        <w:t>Level 1 -</w:t>
      </w:r>
      <w:r w:rsidRPr="00E86B4E">
        <w:rPr>
          <w:spacing w:val="-2"/>
        </w:rPr>
        <w:t xml:space="preserve"> </w:t>
      </w:r>
      <w:r w:rsidRPr="00E86B4E">
        <w:t>Financial</w:t>
      </w:r>
      <w:r w:rsidRPr="00E86B4E">
        <w:rPr>
          <w:spacing w:val="-2"/>
        </w:rPr>
        <w:t xml:space="preserve"> </w:t>
      </w:r>
      <w:r w:rsidRPr="00E86B4E">
        <w:t>instruments</w:t>
      </w:r>
      <w:r w:rsidRPr="00E86B4E">
        <w:rPr>
          <w:spacing w:val="-2"/>
        </w:rPr>
        <w:t xml:space="preserve"> </w:t>
      </w:r>
      <w:r w:rsidRPr="00E86B4E">
        <w:t>where fair value is determined</w:t>
      </w:r>
      <w:r w:rsidRPr="00E86B4E">
        <w:rPr>
          <w:spacing w:val="-2"/>
        </w:rPr>
        <w:t xml:space="preserve"> </w:t>
      </w:r>
      <w:r w:rsidRPr="00E86B4E">
        <w:t>based on observable (unadjusted)</w:t>
      </w:r>
      <w:r w:rsidRPr="00E86B4E">
        <w:rPr>
          <w:spacing w:val="-2"/>
        </w:rPr>
        <w:t xml:space="preserve"> </w:t>
      </w:r>
      <w:r w:rsidRPr="00E86B4E">
        <w:t>quoted prices</w:t>
      </w:r>
      <w:r w:rsidRPr="00E86B4E">
        <w:rPr>
          <w:spacing w:val="-1"/>
        </w:rPr>
        <w:t xml:space="preserve"> </w:t>
      </w:r>
      <w:r w:rsidRPr="00E86B4E">
        <w:t>in an active market for identical assets and liabilities. A market is considered to be active if quoted prices from a stock</w:t>
      </w:r>
      <w:r w:rsidRPr="00E86B4E">
        <w:rPr>
          <w:spacing w:val="-2"/>
        </w:rPr>
        <w:t xml:space="preserve"> </w:t>
      </w:r>
      <w:r w:rsidRPr="00E86B4E">
        <w:t>exchange,</w:t>
      </w:r>
      <w:r w:rsidRPr="00E86B4E">
        <w:rPr>
          <w:spacing w:val="-3"/>
        </w:rPr>
        <w:t xml:space="preserve"> </w:t>
      </w:r>
      <w:r w:rsidRPr="00E86B4E">
        <w:t>broker,</w:t>
      </w:r>
      <w:r w:rsidRPr="00E86B4E">
        <w:rPr>
          <w:spacing w:val="-3"/>
        </w:rPr>
        <w:t xml:space="preserve"> </w:t>
      </w:r>
      <w:r w:rsidRPr="00E86B4E">
        <w:t>industry</w:t>
      </w:r>
      <w:r w:rsidRPr="00E86B4E">
        <w:rPr>
          <w:spacing w:val="-2"/>
        </w:rPr>
        <w:t xml:space="preserve"> </w:t>
      </w:r>
      <w:r w:rsidRPr="00E86B4E">
        <w:t>group,</w:t>
      </w:r>
      <w:r w:rsidRPr="00E86B4E">
        <w:rPr>
          <w:spacing w:val="-3"/>
        </w:rPr>
        <w:t xml:space="preserve"> </w:t>
      </w:r>
      <w:r w:rsidRPr="00E86B4E">
        <w:t>pricing</w:t>
      </w:r>
      <w:r w:rsidRPr="00E86B4E">
        <w:rPr>
          <w:spacing w:val="-5"/>
        </w:rPr>
        <w:t xml:space="preserve"> </w:t>
      </w:r>
      <w:r w:rsidRPr="00E86B4E">
        <w:t>service</w:t>
      </w:r>
      <w:r w:rsidRPr="00E86B4E">
        <w:rPr>
          <w:spacing w:val="-3"/>
        </w:rPr>
        <w:t xml:space="preserve"> </w:t>
      </w:r>
      <w:r w:rsidRPr="00E86B4E">
        <w:t>or</w:t>
      </w:r>
      <w:r w:rsidRPr="00E86B4E">
        <w:rPr>
          <w:spacing w:val="-5"/>
        </w:rPr>
        <w:t xml:space="preserve"> </w:t>
      </w:r>
      <w:r w:rsidRPr="00E86B4E">
        <w:t>supervisory</w:t>
      </w:r>
      <w:r w:rsidRPr="00E86B4E">
        <w:rPr>
          <w:spacing w:val="-2"/>
        </w:rPr>
        <w:t xml:space="preserve"> </w:t>
      </w:r>
      <w:r w:rsidRPr="00E86B4E">
        <w:t>authority</w:t>
      </w:r>
      <w:r w:rsidRPr="00E86B4E">
        <w:rPr>
          <w:spacing w:val="-4"/>
        </w:rPr>
        <w:t xml:space="preserve"> </w:t>
      </w:r>
      <w:r w:rsidRPr="00E86B4E">
        <w:t>are</w:t>
      </w:r>
      <w:r w:rsidRPr="00E86B4E">
        <w:rPr>
          <w:spacing w:val="-3"/>
        </w:rPr>
        <w:t xml:space="preserve"> </w:t>
      </w:r>
      <w:r w:rsidRPr="00E86B4E">
        <w:t>readily</w:t>
      </w:r>
      <w:r w:rsidRPr="00E86B4E">
        <w:rPr>
          <w:spacing w:val="-4"/>
        </w:rPr>
        <w:t xml:space="preserve"> </w:t>
      </w:r>
      <w:r w:rsidRPr="00E86B4E">
        <w:t>and</w:t>
      </w:r>
      <w:r w:rsidRPr="00E86B4E">
        <w:rPr>
          <w:spacing w:val="-3"/>
        </w:rPr>
        <w:t xml:space="preserve"> </w:t>
      </w:r>
      <w:r w:rsidRPr="00E86B4E">
        <w:t>regularly</w:t>
      </w:r>
      <w:r w:rsidRPr="00E86B4E">
        <w:rPr>
          <w:spacing w:val="-5"/>
        </w:rPr>
        <w:t xml:space="preserve"> </w:t>
      </w:r>
      <w:r w:rsidRPr="00E86B4E">
        <w:t>available and these prices represent real and regular market transactions at arm's length.</w:t>
      </w:r>
    </w:p>
    <w:p w14:paraId="3C64F843" w14:textId="77777777" w:rsidR="00987DAC" w:rsidRPr="00E86B4E" w:rsidRDefault="00987DAC">
      <w:pPr>
        <w:pStyle w:val="Brdtext"/>
        <w:spacing w:before="22"/>
      </w:pPr>
    </w:p>
    <w:p w14:paraId="3C64F844" w14:textId="77777777" w:rsidR="00987DAC" w:rsidRPr="00E86B4E" w:rsidRDefault="00016B4C">
      <w:pPr>
        <w:pStyle w:val="Brdtext"/>
        <w:spacing w:line="264" w:lineRule="auto"/>
        <w:ind w:left="118" w:right="463"/>
      </w:pPr>
      <w:r w:rsidRPr="00E86B4E">
        <w:t>Level</w:t>
      </w:r>
      <w:r w:rsidRPr="00E86B4E">
        <w:rPr>
          <w:spacing w:val="-3"/>
        </w:rPr>
        <w:t xml:space="preserve"> </w:t>
      </w:r>
      <w:r w:rsidRPr="00E86B4E">
        <w:t>2</w:t>
      </w:r>
      <w:r w:rsidRPr="00E86B4E">
        <w:rPr>
          <w:spacing w:val="-2"/>
        </w:rPr>
        <w:t xml:space="preserve"> </w:t>
      </w:r>
      <w:r w:rsidRPr="00E86B4E">
        <w:t>-</w:t>
      </w:r>
      <w:r w:rsidRPr="00E86B4E">
        <w:rPr>
          <w:spacing w:val="-4"/>
        </w:rPr>
        <w:t xml:space="preserve"> </w:t>
      </w:r>
      <w:r w:rsidRPr="00E86B4E">
        <w:t>Financial</w:t>
      </w:r>
      <w:r w:rsidRPr="00E86B4E">
        <w:rPr>
          <w:spacing w:val="-4"/>
        </w:rPr>
        <w:t xml:space="preserve"> </w:t>
      </w:r>
      <w:r w:rsidRPr="00E86B4E">
        <w:t>instruments</w:t>
      </w:r>
      <w:r w:rsidRPr="00E86B4E">
        <w:rPr>
          <w:spacing w:val="-4"/>
        </w:rPr>
        <w:t xml:space="preserve"> </w:t>
      </w:r>
      <w:r w:rsidRPr="00E86B4E">
        <w:t>where</w:t>
      </w:r>
      <w:r w:rsidRPr="00E86B4E">
        <w:rPr>
          <w:spacing w:val="-3"/>
        </w:rPr>
        <w:t xml:space="preserve"> </w:t>
      </w:r>
      <w:r w:rsidRPr="00E86B4E">
        <w:t>fair</w:t>
      </w:r>
      <w:r w:rsidRPr="00E86B4E">
        <w:rPr>
          <w:spacing w:val="-3"/>
        </w:rPr>
        <w:t xml:space="preserve"> </w:t>
      </w:r>
      <w:r w:rsidRPr="00E86B4E">
        <w:t>value</w:t>
      </w:r>
      <w:r w:rsidRPr="00E86B4E">
        <w:rPr>
          <w:spacing w:val="-3"/>
        </w:rPr>
        <w:t xml:space="preserve"> </w:t>
      </w:r>
      <w:r w:rsidRPr="00E86B4E">
        <w:t>is</w:t>
      </w:r>
      <w:r w:rsidRPr="00E86B4E">
        <w:rPr>
          <w:spacing w:val="-2"/>
        </w:rPr>
        <w:t xml:space="preserve"> </w:t>
      </w:r>
      <w:r w:rsidRPr="00E86B4E">
        <w:t>determined</w:t>
      </w:r>
      <w:r w:rsidRPr="00E86B4E">
        <w:rPr>
          <w:spacing w:val="-4"/>
        </w:rPr>
        <w:t xml:space="preserve"> </w:t>
      </w:r>
      <w:r w:rsidRPr="00E86B4E">
        <w:t>based</w:t>
      </w:r>
      <w:r w:rsidRPr="00E86B4E">
        <w:rPr>
          <w:spacing w:val="-3"/>
        </w:rPr>
        <w:t xml:space="preserve"> </w:t>
      </w:r>
      <w:r w:rsidRPr="00E86B4E">
        <w:t>on</w:t>
      </w:r>
      <w:r w:rsidRPr="00E86B4E">
        <w:rPr>
          <w:spacing w:val="-3"/>
        </w:rPr>
        <w:t xml:space="preserve"> </w:t>
      </w:r>
      <w:r w:rsidRPr="00E86B4E">
        <w:t>measurement</w:t>
      </w:r>
      <w:r w:rsidRPr="00E86B4E">
        <w:rPr>
          <w:spacing w:val="-4"/>
        </w:rPr>
        <w:t xml:space="preserve"> </w:t>
      </w:r>
      <w:r w:rsidRPr="00E86B4E">
        <w:t>models</w:t>
      </w:r>
      <w:r w:rsidRPr="00E86B4E">
        <w:rPr>
          <w:spacing w:val="-2"/>
        </w:rPr>
        <w:t xml:space="preserve"> </w:t>
      </w:r>
      <w:r w:rsidRPr="00E86B4E">
        <w:t>that</w:t>
      </w:r>
      <w:r w:rsidRPr="00E86B4E">
        <w:rPr>
          <w:spacing w:val="-3"/>
        </w:rPr>
        <w:t xml:space="preserve"> </w:t>
      </w:r>
      <w:r w:rsidRPr="00E86B4E">
        <w:t>are</w:t>
      </w:r>
      <w:r w:rsidRPr="00E86B4E">
        <w:rPr>
          <w:spacing w:val="-3"/>
        </w:rPr>
        <w:t xml:space="preserve"> </w:t>
      </w:r>
      <w:r w:rsidRPr="00E86B4E">
        <w:t>based</w:t>
      </w:r>
      <w:r w:rsidRPr="00E86B4E">
        <w:rPr>
          <w:spacing w:val="-4"/>
        </w:rPr>
        <w:t xml:space="preserve"> </w:t>
      </w:r>
      <w:r w:rsidRPr="00E86B4E">
        <w:t>on observable data for the asset or liability other than quoted prices included in level 1, either directly (i.e. as quotations) or indirectly (i.e. derived from quotations).</w:t>
      </w:r>
    </w:p>
    <w:p w14:paraId="3C64F845" w14:textId="77777777" w:rsidR="00987DAC" w:rsidRPr="00E86B4E" w:rsidRDefault="00016B4C">
      <w:pPr>
        <w:pStyle w:val="Brdtext"/>
        <w:spacing w:line="206" w:lineRule="exact"/>
        <w:ind w:left="118"/>
      </w:pPr>
      <w:r w:rsidRPr="00E86B4E">
        <w:t>Examples</w:t>
      </w:r>
      <w:r w:rsidRPr="00E86B4E">
        <w:rPr>
          <w:spacing w:val="-3"/>
        </w:rPr>
        <w:t xml:space="preserve"> </w:t>
      </w:r>
      <w:r w:rsidRPr="00E86B4E">
        <w:t>of</w:t>
      </w:r>
      <w:r w:rsidRPr="00E86B4E">
        <w:rPr>
          <w:spacing w:val="-4"/>
        </w:rPr>
        <w:t xml:space="preserve"> </w:t>
      </w:r>
      <w:r w:rsidRPr="00E86B4E">
        <w:t>observable</w:t>
      </w:r>
      <w:r w:rsidRPr="00E86B4E">
        <w:rPr>
          <w:spacing w:val="-2"/>
        </w:rPr>
        <w:t xml:space="preserve"> </w:t>
      </w:r>
      <w:r w:rsidRPr="00E86B4E">
        <w:t>data</w:t>
      </w:r>
      <w:r w:rsidRPr="00E86B4E">
        <w:rPr>
          <w:spacing w:val="-4"/>
        </w:rPr>
        <w:t xml:space="preserve"> </w:t>
      </w:r>
      <w:r w:rsidRPr="00E86B4E">
        <w:t>within</w:t>
      </w:r>
      <w:r w:rsidRPr="00E86B4E">
        <w:rPr>
          <w:spacing w:val="-4"/>
        </w:rPr>
        <w:t xml:space="preserve"> </w:t>
      </w:r>
      <w:r w:rsidRPr="00E86B4E">
        <w:t>level</w:t>
      </w:r>
      <w:r w:rsidRPr="00E86B4E">
        <w:rPr>
          <w:spacing w:val="-4"/>
        </w:rPr>
        <w:t xml:space="preserve"> </w:t>
      </w:r>
      <w:r w:rsidRPr="00E86B4E">
        <w:t>2</w:t>
      </w:r>
      <w:r w:rsidRPr="00E86B4E">
        <w:rPr>
          <w:spacing w:val="-1"/>
        </w:rPr>
        <w:t xml:space="preserve"> </w:t>
      </w:r>
      <w:r w:rsidRPr="00E86B4E">
        <w:rPr>
          <w:spacing w:val="-4"/>
        </w:rPr>
        <w:t>are:</w:t>
      </w:r>
    </w:p>
    <w:p w14:paraId="3C64F846" w14:textId="77777777" w:rsidR="00987DAC" w:rsidRPr="00E86B4E" w:rsidRDefault="00016B4C">
      <w:pPr>
        <w:pStyle w:val="Liststycke"/>
        <w:numPr>
          <w:ilvl w:val="0"/>
          <w:numId w:val="5"/>
        </w:numPr>
        <w:tabs>
          <w:tab w:val="left" w:pos="230"/>
        </w:tabs>
        <w:spacing w:before="21"/>
        <w:ind w:left="230" w:hanging="112"/>
        <w:rPr>
          <w:sz w:val="18"/>
        </w:rPr>
      </w:pPr>
      <w:r w:rsidRPr="00E86B4E">
        <w:rPr>
          <w:sz w:val="18"/>
        </w:rPr>
        <w:t>Quoted</w:t>
      </w:r>
      <w:r w:rsidRPr="00E86B4E">
        <w:rPr>
          <w:spacing w:val="-3"/>
          <w:sz w:val="18"/>
        </w:rPr>
        <w:t xml:space="preserve"> </w:t>
      </w:r>
      <w:r w:rsidRPr="00E86B4E">
        <w:rPr>
          <w:sz w:val="18"/>
        </w:rPr>
        <w:t>prices</w:t>
      </w:r>
      <w:r w:rsidRPr="00E86B4E">
        <w:rPr>
          <w:spacing w:val="-2"/>
          <w:sz w:val="18"/>
        </w:rPr>
        <w:t xml:space="preserve"> </w:t>
      </w:r>
      <w:r w:rsidRPr="00E86B4E">
        <w:rPr>
          <w:sz w:val="18"/>
        </w:rPr>
        <w:t>for</w:t>
      </w:r>
      <w:r w:rsidRPr="00E86B4E">
        <w:rPr>
          <w:spacing w:val="-3"/>
          <w:sz w:val="18"/>
        </w:rPr>
        <w:t xml:space="preserve"> </w:t>
      </w:r>
      <w:r w:rsidRPr="00E86B4E">
        <w:rPr>
          <w:sz w:val="18"/>
        </w:rPr>
        <w:t>similar</w:t>
      </w:r>
      <w:r w:rsidRPr="00E86B4E">
        <w:rPr>
          <w:spacing w:val="-5"/>
          <w:sz w:val="18"/>
        </w:rPr>
        <w:t xml:space="preserve"> </w:t>
      </w:r>
      <w:r w:rsidRPr="00E86B4E">
        <w:rPr>
          <w:sz w:val="18"/>
        </w:rPr>
        <w:t>assets</w:t>
      </w:r>
      <w:r w:rsidRPr="00E86B4E">
        <w:rPr>
          <w:spacing w:val="1"/>
          <w:sz w:val="18"/>
        </w:rPr>
        <w:t xml:space="preserve"> </w:t>
      </w:r>
      <w:r w:rsidRPr="00E86B4E">
        <w:rPr>
          <w:sz w:val="18"/>
        </w:rPr>
        <w:t>and</w:t>
      </w:r>
      <w:r w:rsidRPr="00E86B4E">
        <w:rPr>
          <w:spacing w:val="-2"/>
          <w:sz w:val="18"/>
        </w:rPr>
        <w:t xml:space="preserve"> liabilities.</w:t>
      </w:r>
    </w:p>
    <w:p w14:paraId="3C64F847" w14:textId="77777777" w:rsidR="00987DAC" w:rsidRPr="00E86B4E" w:rsidRDefault="00016B4C">
      <w:pPr>
        <w:pStyle w:val="Liststycke"/>
        <w:numPr>
          <w:ilvl w:val="0"/>
          <w:numId w:val="5"/>
        </w:numPr>
        <w:tabs>
          <w:tab w:val="left" w:pos="230"/>
        </w:tabs>
        <w:spacing w:before="21"/>
        <w:ind w:left="230" w:hanging="112"/>
        <w:rPr>
          <w:sz w:val="18"/>
        </w:rPr>
      </w:pPr>
      <w:r w:rsidRPr="00E86B4E">
        <w:rPr>
          <w:sz w:val="18"/>
        </w:rPr>
        <w:t>Data</w:t>
      </w:r>
      <w:r w:rsidRPr="00E86B4E">
        <w:rPr>
          <w:spacing w:val="-5"/>
          <w:sz w:val="18"/>
        </w:rPr>
        <w:t xml:space="preserve"> </w:t>
      </w:r>
      <w:r w:rsidRPr="00E86B4E">
        <w:rPr>
          <w:sz w:val="18"/>
        </w:rPr>
        <w:t>that</w:t>
      </w:r>
      <w:r w:rsidRPr="00E86B4E">
        <w:rPr>
          <w:spacing w:val="-2"/>
          <w:sz w:val="18"/>
        </w:rPr>
        <w:t xml:space="preserve"> </w:t>
      </w:r>
      <w:r w:rsidRPr="00E86B4E">
        <w:rPr>
          <w:sz w:val="18"/>
        </w:rPr>
        <w:t>can</w:t>
      </w:r>
      <w:r w:rsidRPr="00E86B4E">
        <w:rPr>
          <w:spacing w:val="-3"/>
          <w:sz w:val="18"/>
        </w:rPr>
        <w:t xml:space="preserve"> </w:t>
      </w:r>
      <w:r w:rsidRPr="00E86B4E">
        <w:rPr>
          <w:sz w:val="18"/>
        </w:rPr>
        <w:t>form</w:t>
      </w:r>
      <w:r w:rsidRPr="00E86B4E">
        <w:rPr>
          <w:spacing w:val="-1"/>
          <w:sz w:val="18"/>
        </w:rPr>
        <w:t xml:space="preserve"> </w:t>
      </w:r>
      <w:r w:rsidRPr="00E86B4E">
        <w:rPr>
          <w:sz w:val="18"/>
        </w:rPr>
        <w:t>a</w:t>
      </w:r>
      <w:r w:rsidRPr="00E86B4E">
        <w:rPr>
          <w:spacing w:val="-4"/>
          <w:sz w:val="18"/>
        </w:rPr>
        <w:t xml:space="preserve"> </w:t>
      </w:r>
      <w:r w:rsidRPr="00E86B4E">
        <w:rPr>
          <w:sz w:val="18"/>
        </w:rPr>
        <w:t>basis</w:t>
      </w:r>
      <w:r w:rsidRPr="00E86B4E">
        <w:rPr>
          <w:spacing w:val="-4"/>
          <w:sz w:val="18"/>
        </w:rPr>
        <w:t xml:space="preserve"> </w:t>
      </w:r>
      <w:r w:rsidRPr="00E86B4E">
        <w:rPr>
          <w:sz w:val="18"/>
        </w:rPr>
        <w:t>for</w:t>
      </w:r>
      <w:r w:rsidRPr="00E86B4E">
        <w:rPr>
          <w:spacing w:val="-3"/>
          <w:sz w:val="18"/>
        </w:rPr>
        <w:t xml:space="preserve"> </w:t>
      </w:r>
      <w:r w:rsidRPr="00E86B4E">
        <w:rPr>
          <w:sz w:val="18"/>
        </w:rPr>
        <w:t>price</w:t>
      </w:r>
      <w:r w:rsidRPr="00E86B4E">
        <w:rPr>
          <w:spacing w:val="-2"/>
          <w:sz w:val="18"/>
        </w:rPr>
        <w:t xml:space="preserve"> </w:t>
      </w:r>
      <w:r w:rsidRPr="00E86B4E">
        <w:rPr>
          <w:sz w:val="18"/>
        </w:rPr>
        <w:t>assessment,</w:t>
      </w:r>
      <w:r w:rsidRPr="00E86B4E">
        <w:rPr>
          <w:spacing w:val="-3"/>
          <w:sz w:val="18"/>
        </w:rPr>
        <w:t xml:space="preserve"> </w:t>
      </w:r>
      <w:r w:rsidRPr="00E86B4E">
        <w:rPr>
          <w:sz w:val="18"/>
        </w:rPr>
        <w:t>e.g.</w:t>
      </w:r>
      <w:r w:rsidRPr="00E86B4E">
        <w:rPr>
          <w:spacing w:val="-2"/>
          <w:sz w:val="18"/>
        </w:rPr>
        <w:t xml:space="preserve"> </w:t>
      </w:r>
      <w:r w:rsidRPr="00E86B4E">
        <w:rPr>
          <w:sz w:val="18"/>
        </w:rPr>
        <w:t>market</w:t>
      </w:r>
      <w:r w:rsidRPr="00E86B4E">
        <w:rPr>
          <w:spacing w:val="-2"/>
          <w:sz w:val="18"/>
        </w:rPr>
        <w:t xml:space="preserve"> </w:t>
      </w:r>
      <w:r w:rsidRPr="00E86B4E">
        <w:rPr>
          <w:sz w:val="18"/>
        </w:rPr>
        <w:t>interest</w:t>
      </w:r>
      <w:r w:rsidRPr="00E86B4E">
        <w:rPr>
          <w:spacing w:val="-3"/>
          <w:sz w:val="18"/>
        </w:rPr>
        <w:t xml:space="preserve"> </w:t>
      </w:r>
      <w:r w:rsidRPr="00E86B4E">
        <w:rPr>
          <w:sz w:val="18"/>
        </w:rPr>
        <w:t>rates</w:t>
      </w:r>
      <w:r w:rsidRPr="00E86B4E">
        <w:rPr>
          <w:spacing w:val="-1"/>
          <w:sz w:val="18"/>
        </w:rPr>
        <w:t xml:space="preserve"> </w:t>
      </w:r>
      <w:r w:rsidRPr="00E86B4E">
        <w:rPr>
          <w:sz w:val="18"/>
        </w:rPr>
        <w:t>and</w:t>
      </w:r>
      <w:r w:rsidRPr="00E86B4E">
        <w:rPr>
          <w:spacing w:val="-4"/>
          <w:sz w:val="18"/>
        </w:rPr>
        <w:t xml:space="preserve"> </w:t>
      </w:r>
      <w:r w:rsidRPr="00E86B4E">
        <w:rPr>
          <w:sz w:val="18"/>
        </w:rPr>
        <w:t>yield</w:t>
      </w:r>
      <w:r w:rsidRPr="00E86B4E">
        <w:rPr>
          <w:spacing w:val="-4"/>
          <w:sz w:val="18"/>
        </w:rPr>
        <w:t xml:space="preserve"> </w:t>
      </w:r>
      <w:r w:rsidRPr="00E86B4E">
        <w:rPr>
          <w:spacing w:val="-2"/>
          <w:sz w:val="18"/>
        </w:rPr>
        <w:t>curves.</w:t>
      </w:r>
    </w:p>
    <w:p w14:paraId="3C64F848" w14:textId="77777777" w:rsidR="00987DAC" w:rsidRPr="00E86B4E" w:rsidRDefault="00987DAC">
      <w:pPr>
        <w:pStyle w:val="Brdtext"/>
        <w:spacing w:before="42"/>
      </w:pPr>
    </w:p>
    <w:p w14:paraId="3C64F849" w14:textId="77777777" w:rsidR="00987DAC" w:rsidRPr="00593E05" w:rsidRDefault="00016B4C">
      <w:pPr>
        <w:pStyle w:val="Brdtext"/>
        <w:spacing w:line="264" w:lineRule="auto"/>
        <w:ind w:left="118" w:right="442"/>
      </w:pPr>
      <w:r w:rsidRPr="00E86B4E">
        <w:t>Level</w:t>
      </w:r>
      <w:r w:rsidRPr="00E86B4E">
        <w:rPr>
          <w:spacing w:val="-3"/>
        </w:rPr>
        <w:t xml:space="preserve"> </w:t>
      </w:r>
      <w:r w:rsidRPr="00E86B4E">
        <w:t>3</w:t>
      </w:r>
      <w:r w:rsidRPr="00E86B4E">
        <w:rPr>
          <w:spacing w:val="-2"/>
        </w:rPr>
        <w:t xml:space="preserve"> </w:t>
      </w:r>
      <w:r w:rsidRPr="00E86B4E">
        <w:t>-</w:t>
      </w:r>
      <w:r w:rsidRPr="00E86B4E">
        <w:rPr>
          <w:spacing w:val="-5"/>
        </w:rPr>
        <w:t xml:space="preserve"> </w:t>
      </w:r>
      <w:r w:rsidRPr="00E86B4E">
        <w:t>Financial</w:t>
      </w:r>
      <w:r w:rsidRPr="00E86B4E">
        <w:rPr>
          <w:spacing w:val="-5"/>
        </w:rPr>
        <w:t xml:space="preserve"> </w:t>
      </w:r>
      <w:r w:rsidRPr="00E86B4E">
        <w:t>instruments</w:t>
      </w:r>
      <w:r w:rsidRPr="00E86B4E">
        <w:rPr>
          <w:spacing w:val="-5"/>
        </w:rPr>
        <w:t xml:space="preserve"> </w:t>
      </w:r>
      <w:r w:rsidRPr="00E86B4E">
        <w:t>where</w:t>
      </w:r>
      <w:r w:rsidRPr="00E86B4E">
        <w:rPr>
          <w:spacing w:val="-3"/>
        </w:rPr>
        <w:t xml:space="preserve"> </w:t>
      </w:r>
      <w:r w:rsidRPr="00E86B4E">
        <w:t>fair</w:t>
      </w:r>
      <w:r w:rsidRPr="00E86B4E">
        <w:rPr>
          <w:spacing w:val="-3"/>
        </w:rPr>
        <w:t xml:space="preserve"> </w:t>
      </w:r>
      <w:r w:rsidRPr="00E86B4E">
        <w:t>value</w:t>
      </w:r>
      <w:r w:rsidRPr="00E86B4E">
        <w:rPr>
          <w:spacing w:val="-3"/>
        </w:rPr>
        <w:t xml:space="preserve"> </w:t>
      </w:r>
      <w:r w:rsidRPr="00E86B4E">
        <w:t>is</w:t>
      </w:r>
      <w:r w:rsidRPr="00E86B4E">
        <w:rPr>
          <w:spacing w:val="-2"/>
        </w:rPr>
        <w:t xml:space="preserve"> </w:t>
      </w:r>
      <w:r w:rsidRPr="00E86B4E">
        <w:t>determined</w:t>
      </w:r>
      <w:r w:rsidRPr="00E86B4E">
        <w:rPr>
          <w:spacing w:val="-5"/>
        </w:rPr>
        <w:t xml:space="preserve"> </w:t>
      </w:r>
      <w:r w:rsidRPr="00E86B4E">
        <w:t>on</w:t>
      </w:r>
      <w:r w:rsidRPr="00E86B4E">
        <w:rPr>
          <w:spacing w:val="-3"/>
        </w:rPr>
        <w:t xml:space="preserve"> </w:t>
      </w:r>
      <w:r w:rsidRPr="00E86B4E">
        <w:t>the</w:t>
      </w:r>
      <w:r w:rsidRPr="00E86B4E">
        <w:rPr>
          <w:spacing w:val="-3"/>
        </w:rPr>
        <w:t xml:space="preserve"> </w:t>
      </w:r>
      <w:r w:rsidRPr="00E86B4E">
        <w:t>basis</w:t>
      </w:r>
      <w:r w:rsidRPr="00E86B4E">
        <w:rPr>
          <w:spacing w:val="-2"/>
        </w:rPr>
        <w:t xml:space="preserve"> </w:t>
      </w:r>
      <w:r w:rsidRPr="00E86B4E">
        <w:t>of</w:t>
      </w:r>
      <w:r w:rsidRPr="00E86B4E">
        <w:rPr>
          <w:spacing w:val="-5"/>
        </w:rPr>
        <w:t xml:space="preserve"> </w:t>
      </w:r>
      <w:r w:rsidRPr="00E86B4E">
        <w:t>measurement</w:t>
      </w:r>
      <w:r w:rsidRPr="00E86B4E">
        <w:rPr>
          <w:spacing w:val="-5"/>
        </w:rPr>
        <w:t xml:space="preserve"> </w:t>
      </w:r>
      <w:r w:rsidRPr="00E86B4E">
        <w:t>models</w:t>
      </w:r>
      <w:r w:rsidRPr="00E86B4E">
        <w:rPr>
          <w:spacing w:val="-2"/>
        </w:rPr>
        <w:t xml:space="preserve"> </w:t>
      </w:r>
      <w:r w:rsidRPr="00E86B4E">
        <w:t xml:space="preserve">where </w:t>
      </w:r>
      <w:r w:rsidRPr="00593E05">
        <w:t>important input is based on unobservable data.</w:t>
      </w:r>
    </w:p>
    <w:p w14:paraId="3C64F84A" w14:textId="77777777" w:rsidR="00987DAC" w:rsidRPr="00593E05" w:rsidRDefault="00987DAC">
      <w:pPr>
        <w:pStyle w:val="Brdtext"/>
        <w:spacing w:before="60"/>
      </w:pPr>
    </w:p>
    <w:p w14:paraId="3C64F84B" w14:textId="77777777" w:rsidR="00987DAC" w:rsidRPr="00593E05" w:rsidRDefault="00016B4C">
      <w:pPr>
        <w:pStyle w:val="Rubrik7"/>
        <w:spacing w:before="1"/>
      </w:pPr>
      <w:r w:rsidRPr="00593E05">
        <w:t>Details</w:t>
      </w:r>
      <w:r w:rsidRPr="00593E05">
        <w:rPr>
          <w:spacing w:val="-8"/>
        </w:rPr>
        <w:t xml:space="preserve"> </w:t>
      </w:r>
      <w:r w:rsidRPr="00593E05">
        <w:t>about</w:t>
      </w:r>
      <w:r w:rsidRPr="00593E05">
        <w:rPr>
          <w:spacing w:val="-7"/>
        </w:rPr>
        <w:t xml:space="preserve"> </w:t>
      </w:r>
      <w:r w:rsidRPr="00593E05">
        <w:t>fair</w:t>
      </w:r>
      <w:r w:rsidRPr="00593E05">
        <w:rPr>
          <w:spacing w:val="-7"/>
        </w:rPr>
        <w:t xml:space="preserve"> </w:t>
      </w:r>
      <w:r w:rsidRPr="00593E05">
        <w:rPr>
          <w:spacing w:val="-4"/>
        </w:rPr>
        <w:t>value</w:t>
      </w:r>
    </w:p>
    <w:p w14:paraId="3C64F84C" w14:textId="78C4498F" w:rsidR="00987DAC" w:rsidRDefault="00016B4C">
      <w:pPr>
        <w:pStyle w:val="Brdtext"/>
        <w:spacing w:before="103" w:line="264" w:lineRule="auto"/>
        <w:ind w:left="118" w:right="471"/>
      </w:pPr>
      <w:r w:rsidRPr="00593E05">
        <w:t>Accounts receivable and accounts payable normally run with a residual lifespan of less than three months,</w:t>
      </w:r>
      <w:r w:rsidRPr="00593E05">
        <w:rPr>
          <w:spacing w:val="18"/>
        </w:rPr>
        <w:t xml:space="preserve"> </w:t>
      </w:r>
      <w:r w:rsidRPr="00593E05">
        <w:t>and the carrying amount is therefore a good approximation of the fair value. For other instruments, the carrying amount</w:t>
      </w:r>
      <w:r w:rsidRPr="00593E05">
        <w:rPr>
          <w:spacing w:val="-2"/>
        </w:rPr>
        <w:t xml:space="preserve"> </w:t>
      </w:r>
      <w:r w:rsidRPr="00593E05">
        <w:t>is</w:t>
      </w:r>
      <w:r w:rsidRPr="00593E05">
        <w:rPr>
          <w:spacing w:val="-1"/>
        </w:rPr>
        <w:t xml:space="preserve"> </w:t>
      </w:r>
      <w:r w:rsidRPr="00593E05">
        <w:t>considered</w:t>
      </w:r>
      <w:r w:rsidRPr="00593E05">
        <w:rPr>
          <w:spacing w:val="-2"/>
        </w:rPr>
        <w:t xml:space="preserve"> </w:t>
      </w:r>
      <w:r w:rsidRPr="00593E05">
        <w:t>to</w:t>
      </w:r>
      <w:r w:rsidRPr="00593E05">
        <w:rPr>
          <w:spacing w:val="-2"/>
        </w:rPr>
        <w:t xml:space="preserve"> </w:t>
      </w:r>
      <w:r w:rsidRPr="00593E05">
        <w:t>be</w:t>
      </w:r>
      <w:r w:rsidRPr="00593E05">
        <w:rPr>
          <w:spacing w:val="-4"/>
        </w:rPr>
        <w:t xml:space="preserve"> </w:t>
      </w:r>
      <w:r w:rsidRPr="00593E05">
        <w:t>a</w:t>
      </w:r>
      <w:r w:rsidRPr="00593E05">
        <w:rPr>
          <w:spacing w:val="-4"/>
        </w:rPr>
        <w:t xml:space="preserve"> </w:t>
      </w:r>
      <w:r w:rsidRPr="00593E05">
        <w:t>good</w:t>
      </w:r>
      <w:r w:rsidRPr="00593E05">
        <w:rPr>
          <w:spacing w:val="-4"/>
        </w:rPr>
        <w:t xml:space="preserve"> </w:t>
      </w:r>
      <w:r w:rsidRPr="00593E05">
        <w:t>approximation</w:t>
      </w:r>
      <w:r w:rsidRPr="00593E05">
        <w:rPr>
          <w:spacing w:val="-4"/>
        </w:rPr>
        <w:t xml:space="preserve"> </w:t>
      </w:r>
      <w:r w:rsidRPr="00593E05">
        <w:t>of</w:t>
      </w:r>
      <w:r w:rsidRPr="00593E05">
        <w:rPr>
          <w:spacing w:val="-2"/>
        </w:rPr>
        <w:t xml:space="preserve"> </w:t>
      </w:r>
      <w:r w:rsidRPr="00593E05">
        <w:t>fair</w:t>
      </w:r>
      <w:r w:rsidRPr="00593E05">
        <w:rPr>
          <w:spacing w:val="-2"/>
        </w:rPr>
        <w:t xml:space="preserve"> </w:t>
      </w:r>
      <w:r w:rsidRPr="00593E05">
        <w:t>value.</w:t>
      </w:r>
    </w:p>
    <w:p w14:paraId="56E06952" w14:textId="77777777" w:rsidR="00244D8F" w:rsidRPr="00593E05" w:rsidRDefault="00244D8F">
      <w:pPr>
        <w:pStyle w:val="Brdtext"/>
        <w:spacing w:before="103" w:line="264" w:lineRule="auto"/>
        <w:ind w:left="118" w:right="471"/>
        <w:rPr>
          <w:spacing w:val="-2"/>
        </w:rPr>
      </w:pPr>
    </w:p>
    <w:p w14:paraId="7BA07302" w14:textId="7694328D" w:rsidR="00244D8F" w:rsidRPr="00593E05" w:rsidRDefault="00244D8F" w:rsidP="00D16A59">
      <w:pPr>
        <w:pStyle w:val="Rubrik7"/>
        <w:spacing w:before="1"/>
      </w:pPr>
      <w:r>
        <w:t>Fair value</w:t>
      </w:r>
    </w:p>
    <w:p w14:paraId="55690564" w14:textId="6B022176" w:rsidR="00244D8F" w:rsidRPr="00A4443C" w:rsidRDefault="00D44E0D" w:rsidP="00A4443C">
      <w:pPr>
        <w:pStyle w:val="Brdtext"/>
        <w:spacing w:line="264" w:lineRule="auto"/>
        <w:ind w:left="118" w:right="442"/>
      </w:pPr>
      <w:r w:rsidRPr="00D44E0D">
        <w:t>The fair value of financial assets and liabilities traded in an active market is determined by reference to quoted market prices. The fair value of other financial assets and liabilities is determined using generally accepted valuation models such as discounting future cash flows and using information from current market transactions.</w:t>
      </w:r>
    </w:p>
    <w:p w14:paraId="46FC04B4" w14:textId="77777777" w:rsidR="00593E05" w:rsidRPr="00D44E0D" w:rsidRDefault="00593E05" w:rsidP="00A4443C">
      <w:pPr>
        <w:pStyle w:val="Brdtext"/>
        <w:spacing w:line="264" w:lineRule="auto"/>
        <w:ind w:left="118" w:right="442"/>
      </w:pPr>
    </w:p>
    <w:p w14:paraId="298A0A68" w14:textId="2EF95EE7" w:rsidR="00593E05" w:rsidRDefault="00D44E0D" w:rsidP="00A4443C">
      <w:pPr>
        <w:pStyle w:val="Brdtext"/>
        <w:spacing w:line="264" w:lineRule="auto"/>
        <w:ind w:left="118" w:right="442"/>
      </w:pPr>
      <w:r w:rsidRPr="00D44E0D">
        <w:t>For all financial assets and liabilities, the carrying amount is considered to be a good approximation of their fair value, unless otherwise stated.</w:t>
      </w:r>
    </w:p>
    <w:p w14:paraId="7E71BD13" w14:textId="77777777" w:rsidR="00D4656D" w:rsidRDefault="00D4656D" w:rsidP="00A4443C">
      <w:pPr>
        <w:pStyle w:val="Brdtext"/>
        <w:spacing w:line="264" w:lineRule="auto"/>
        <w:ind w:left="118" w:right="442"/>
      </w:pPr>
    </w:p>
    <w:p w14:paraId="4572A90A" w14:textId="10CA5E73" w:rsidR="00DD7A20" w:rsidRPr="00716C7E" w:rsidRDefault="008848BD" w:rsidP="008848BD">
      <w:pPr>
        <w:pStyle w:val="Brdtext"/>
        <w:spacing w:line="264" w:lineRule="auto"/>
        <w:ind w:left="118" w:right="442"/>
      </w:pPr>
      <w:r w:rsidRPr="008848BD">
        <w:t>The Group has a so-called cross currency swap, valued according to level 2, to some extent hedge the currency exposure that exists against EUR. The transaction exposure is, however, limited, as both income and expenses in each country are primarily in local currency.</w:t>
      </w:r>
    </w:p>
    <w:p w14:paraId="6D648C99" w14:textId="77777777" w:rsidR="00DD7A20" w:rsidRDefault="00DD7A20" w:rsidP="00A4443C">
      <w:pPr>
        <w:pStyle w:val="Brdtext"/>
        <w:spacing w:line="264" w:lineRule="auto"/>
        <w:ind w:left="118" w:right="442"/>
      </w:pPr>
    </w:p>
    <w:p w14:paraId="09BD1B91" w14:textId="49F0CFAF" w:rsidR="00D4656D" w:rsidRDefault="00AC2F5E">
      <w:pPr>
        <w:pStyle w:val="Brdtext"/>
        <w:spacing w:before="103" w:line="264" w:lineRule="auto"/>
        <w:ind w:left="118" w:right="471"/>
        <w:rPr>
          <w:b/>
          <w:bCs/>
        </w:rPr>
      </w:pPr>
      <w:r w:rsidRPr="00AC2F5E">
        <w:rPr>
          <w:b/>
          <w:bCs/>
        </w:rPr>
        <w:t xml:space="preserve">Additional purchase </w:t>
      </w:r>
      <w:r w:rsidR="00645373">
        <w:rPr>
          <w:b/>
          <w:bCs/>
        </w:rPr>
        <w:t>consideration</w:t>
      </w:r>
      <w:r w:rsidRPr="00AC2F5E">
        <w:rPr>
          <w:b/>
          <w:bCs/>
        </w:rPr>
        <w:t xml:space="preserve"> JumpYard Sn</w:t>
      </w:r>
      <w:r w:rsidR="00AE6B87">
        <w:rPr>
          <w:b/>
          <w:bCs/>
        </w:rPr>
        <w:t>ø</w:t>
      </w:r>
      <w:r w:rsidRPr="00AC2F5E">
        <w:rPr>
          <w:b/>
          <w:bCs/>
        </w:rPr>
        <w:t xml:space="preserve"> AS</w:t>
      </w:r>
    </w:p>
    <w:p w14:paraId="60EB34D5" w14:textId="6DB1F65A" w:rsidR="002C1899" w:rsidRPr="00434E15" w:rsidRDefault="002C1899" w:rsidP="00434E15">
      <w:pPr>
        <w:pStyle w:val="Brdtext"/>
        <w:spacing w:line="264" w:lineRule="auto"/>
        <w:ind w:left="118" w:right="442"/>
      </w:pPr>
      <w:r w:rsidRPr="00434E15">
        <w:t>The Group has an additional purchase consideration relating to the Norwegian business JumpYard Snö AS. The additional purchase consideration is due for payment in April 2025 and is based on a multiple of 30% of 4.5 times JumpYard Snö AS adjusted EBITDA (with certain additional adjustments). Based on these inputs,</w:t>
      </w:r>
      <w:r w:rsidR="00446177">
        <w:t xml:space="preserve"> defined as level 3,</w:t>
      </w:r>
      <w:r w:rsidRPr="00434E15">
        <w:t xml:space="preserve"> the total additional purchase consideration amounts to an immaterial amount</w:t>
      </w:r>
      <w:r w:rsidR="00446177">
        <w:t xml:space="preserve"> and hence no sensitivity analysis has been raised</w:t>
      </w:r>
      <w:r w:rsidRPr="00434E15">
        <w:t>.</w:t>
      </w:r>
    </w:p>
    <w:p w14:paraId="3C64F84D" w14:textId="77777777" w:rsidR="00987DAC" w:rsidRPr="00434E15" w:rsidRDefault="00987DAC" w:rsidP="00A4443C">
      <w:pPr>
        <w:pStyle w:val="Brdtext"/>
        <w:spacing w:line="264" w:lineRule="auto"/>
        <w:ind w:left="118" w:right="442"/>
      </w:pPr>
    </w:p>
    <w:p w14:paraId="3C64F84E" w14:textId="77777777" w:rsidR="00987DAC" w:rsidRPr="00434E15" w:rsidRDefault="00016B4C">
      <w:pPr>
        <w:pStyle w:val="Rubrik8"/>
      </w:pPr>
      <w:r w:rsidRPr="00434E15">
        <w:t>Capital</w:t>
      </w:r>
      <w:r w:rsidRPr="00434E15">
        <w:rPr>
          <w:spacing w:val="-9"/>
        </w:rPr>
        <w:t xml:space="preserve"> </w:t>
      </w:r>
      <w:r w:rsidRPr="00434E15">
        <w:rPr>
          <w:spacing w:val="-2"/>
        </w:rPr>
        <w:t>management</w:t>
      </w:r>
    </w:p>
    <w:p w14:paraId="3C64F84F" w14:textId="1E52F57C" w:rsidR="00987DAC" w:rsidRPr="00434E15" w:rsidRDefault="00434E15" w:rsidP="00434E15">
      <w:pPr>
        <w:pStyle w:val="Brdtext"/>
        <w:spacing w:line="264" w:lineRule="auto"/>
        <w:ind w:left="118" w:right="442"/>
      </w:pPr>
      <w:r w:rsidRPr="00434E15">
        <w:t xml:space="preserve">The Group's objective for capital management is to ensure the Group's ability to continue </w:t>
      </w:r>
      <w:r w:rsidR="007A7438">
        <w:t>its ongoing business</w:t>
      </w:r>
      <w:r w:rsidRPr="00434E15">
        <w:t xml:space="preserve"> in order to generate a reasonable return for shareholders and benefits for other stakeholders and to establish an optimal capital structure to minimize the cost of capital. The managed capital consists of the Group's reported equity. In order to optimize and maintain an optimal capital structure in order to keep the cost of capital low, the Group may adjust the dividend paid to shareholders, repay capital to owners, issue new shares or sell assets to reduce debt. JumpYard's bond terms contain conditions that make it impossible to pay dividends before the date the Group is listed on the stock exchange, after which dividend levels are limited. The Board of Directors has further decided that no dividends shall be paid in the coming years as the Group's financial objectives prioritize growth both organically and through the establishment of new facilities.</w:t>
      </w:r>
    </w:p>
    <w:p w14:paraId="3C64F850" w14:textId="77777777" w:rsidR="00987DAC" w:rsidRPr="00434E15" w:rsidRDefault="00987DAC" w:rsidP="00434E15">
      <w:pPr>
        <w:pStyle w:val="Brdtext"/>
        <w:spacing w:line="264" w:lineRule="auto"/>
        <w:ind w:left="118" w:right="442"/>
        <w:sectPr w:rsidR="00987DAC" w:rsidRPr="00434E15">
          <w:pgSz w:w="11910" w:h="16840"/>
          <w:pgMar w:top="1420" w:right="980" w:bottom="900" w:left="1300" w:header="512" w:footer="719" w:gutter="0"/>
          <w:cols w:space="720"/>
        </w:sectPr>
      </w:pPr>
    </w:p>
    <w:p w14:paraId="3C64F853" w14:textId="39B4EAF3" w:rsidR="00987DAC" w:rsidRPr="00644930" w:rsidRDefault="00016B4C">
      <w:pPr>
        <w:pStyle w:val="Rubrik5"/>
      </w:pPr>
      <w:r w:rsidRPr="00644930">
        <w:lastRenderedPageBreak/>
        <w:t>Note</w:t>
      </w:r>
      <w:r w:rsidRPr="00644930">
        <w:rPr>
          <w:spacing w:val="-4"/>
        </w:rPr>
        <w:t xml:space="preserve"> </w:t>
      </w:r>
      <w:r w:rsidR="00D511A4" w:rsidRPr="00644930">
        <w:t>6</w:t>
      </w:r>
      <w:r w:rsidRPr="00644930">
        <w:rPr>
          <w:spacing w:val="-2"/>
        </w:rPr>
        <w:t xml:space="preserve"> Revenue</w:t>
      </w:r>
    </w:p>
    <w:p w14:paraId="3C64F854" w14:textId="77777777" w:rsidR="00987DAC" w:rsidRPr="00644930" w:rsidRDefault="00987DAC">
      <w:pPr>
        <w:pStyle w:val="Brdtext"/>
        <w:spacing w:before="11"/>
        <w:rPr>
          <w:b/>
          <w:sz w:val="8"/>
        </w:rPr>
      </w:pPr>
    </w:p>
    <w:p w14:paraId="3C64F8C6" w14:textId="58AB094B" w:rsidR="00987DAC" w:rsidRDefault="00F52864">
      <w:pPr>
        <w:pStyle w:val="Brdtext"/>
        <w:spacing w:before="227"/>
        <w:rPr>
          <w:b/>
          <w:sz w:val="24"/>
        </w:rPr>
      </w:pPr>
      <w:r>
        <w:rPr>
          <w:noProof/>
        </w:rPr>
        <w:t xml:space="preserve">   </w:t>
      </w:r>
      <w:r w:rsidR="00053794" w:rsidRPr="00053794">
        <w:rPr>
          <w:noProof/>
        </w:rPr>
        <w:drawing>
          <wp:inline distT="0" distB="0" distL="0" distR="0" wp14:anchorId="7B6423FD" wp14:editId="60AA23D6">
            <wp:extent cx="5362575" cy="2105025"/>
            <wp:effectExtent l="0" t="0" r="9525" b="9525"/>
            <wp:docPr id="479160546"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62575" cy="2105025"/>
                    </a:xfrm>
                    <a:prstGeom prst="rect">
                      <a:avLst/>
                    </a:prstGeom>
                    <a:noFill/>
                    <a:ln>
                      <a:noFill/>
                    </a:ln>
                  </pic:spPr>
                </pic:pic>
              </a:graphicData>
            </a:graphic>
          </wp:inline>
        </w:drawing>
      </w:r>
    </w:p>
    <w:p w14:paraId="1EA242FF" w14:textId="77777777" w:rsidR="00224AC8" w:rsidRDefault="00224AC8" w:rsidP="003C350E">
      <w:pPr>
        <w:pStyle w:val="Brdtext"/>
        <w:spacing w:before="100" w:line="264" w:lineRule="auto"/>
        <w:ind w:left="118" w:right="442"/>
      </w:pPr>
    </w:p>
    <w:p w14:paraId="330C6C17" w14:textId="5D0A1B20" w:rsidR="003C350E" w:rsidRPr="003C350E" w:rsidRDefault="00224AC8" w:rsidP="003C350E">
      <w:pPr>
        <w:pStyle w:val="Brdtext"/>
        <w:spacing w:before="100" w:line="264" w:lineRule="auto"/>
        <w:ind w:left="118" w:right="442"/>
      </w:pPr>
      <w:r w:rsidRPr="00224AC8">
        <w:t xml:space="preserve">All revenue is recognized at a </w:t>
      </w:r>
      <w:r w:rsidR="00E03F77">
        <w:t>give</w:t>
      </w:r>
      <w:r w:rsidRPr="00224AC8">
        <w:t>n time</w:t>
      </w:r>
    </w:p>
    <w:p w14:paraId="2B8348DA" w14:textId="77777777" w:rsidR="003C350E" w:rsidRPr="003C350E" w:rsidRDefault="003C350E" w:rsidP="003C350E">
      <w:pPr>
        <w:pStyle w:val="Brdtext"/>
        <w:spacing w:before="100" w:line="264" w:lineRule="auto"/>
        <w:ind w:left="118" w:right="442"/>
      </w:pPr>
    </w:p>
    <w:p w14:paraId="3C64F8C7" w14:textId="77777777" w:rsidR="00987DAC" w:rsidRPr="00AF15F9" w:rsidRDefault="00016B4C">
      <w:pPr>
        <w:pStyle w:val="Rubrik8"/>
        <w:spacing w:before="1"/>
      </w:pPr>
      <w:r w:rsidRPr="00AF15F9">
        <w:t>Remaining</w:t>
      </w:r>
      <w:r w:rsidRPr="00AF15F9">
        <w:rPr>
          <w:spacing w:val="-11"/>
        </w:rPr>
        <w:t xml:space="preserve"> </w:t>
      </w:r>
      <w:r w:rsidRPr="00AF15F9">
        <w:t>performance</w:t>
      </w:r>
      <w:r w:rsidRPr="00AF15F9">
        <w:rPr>
          <w:spacing w:val="-11"/>
        </w:rPr>
        <w:t xml:space="preserve"> </w:t>
      </w:r>
      <w:r w:rsidRPr="00AF15F9">
        <w:t>commitments,</w:t>
      </w:r>
      <w:r w:rsidRPr="00AF15F9">
        <w:rPr>
          <w:spacing w:val="-10"/>
        </w:rPr>
        <w:t xml:space="preserve"> </w:t>
      </w:r>
      <w:r w:rsidRPr="00AF15F9">
        <w:t>contractual</w:t>
      </w:r>
      <w:r w:rsidRPr="00AF15F9">
        <w:rPr>
          <w:spacing w:val="-10"/>
        </w:rPr>
        <w:t xml:space="preserve"> </w:t>
      </w:r>
      <w:r w:rsidRPr="00AF15F9">
        <w:t>assets</w:t>
      </w:r>
      <w:r w:rsidRPr="00AF15F9">
        <w:rPr>
          <w:spacing w:val="-10"/>
        </w:rPr>
        <w:t xml:space="preserve"> </w:t>
      </w:r>
      <w:r w:rsidRPr="00AF15F9">
        <w:t>and</w:t>
      </w:r>
      <w:r w:rsidRPr="00AF15F9">
        <w:rPr>
          <w:spacing w:val="-11"/>
        </w:rPr>
        <w:t xml:space="preserve"> </w:t>
      </w:r>
      <w:r w:rsidRPr="00AF15F9">
        <w:t>contractual</w:t>
      </w:r>
      <w:r w:rsidRPr="00AF15F9">
        <w:rPr>
          <w:spacing w:val="-11"/>
        </w:rPr>
        <w:t xml:space="preserve"> </w:t>
      </w:r>
      <w:r w:rsidRPr="00AF15F9">
        <w:rPr>
          <w:spacing w:val="-2"/>
        </w:rPr>
        <w:t>liabilities</w:t>
      </w:r>
    </w:p>
    <w:p w14:paraId="3C64F8C8" w14:textId="516B9F82" w:rsidR="00987DAC" w:rsidRPr="00AF15F9" w:rsidRDefault="00016B4C">
      <w:pPr>
        <w:pStyle w:val="Brdtext"/>
        <w:spacing w:before="100" w:line="264" w:lineRule="auto"/>
        <w:ind w:left="118" w:right="442"/>
      </w:pPr>
      <w:r w:rsidRPr="00AF15F9">
        <w:t>The</w:t>
      </w:r>
      <w:r w:rsidRPr="00AF15F9">
        <w:rPr>
          <w:spacing w:val="-3"/>
        </w:rPr>
        <w:t xml:space="preserve"> </w:t>
      </w:r>
      <w:r w:rsidRPr="00AF15F9">
        <w:t>performance</w:t>
      </w:r>
      <w:r w:rsidRPr="00AF15F9">
        <w:rPr>
          <w:spacing w:val="-4"/>
        </w:rPr>
        <w:t xml:space="preserve"> </w:t>
      </w:r>
      <w:r w:rsidRPr="00AF15F9">
        <w:t>commitments</w:t>
      </w:r>
      <w:r w:rsidRPr="00AF15F9">
        <w:rPr>
          <w:spacing w:val="-2"/>
        </w:rPr>
        <w:t xml:space="preserve"> </w:t>
      </w:r>
      <w:r w:rsidRPr="00AF15F9">
        <w:t>that</w:t>
      </w:r>
      <w:r w:rsidRPr="00AF15F9">
        <w:rPr>
          <w:spacing w:val="-3"/>
        </w:rPr>
        <w:t xml:space="preserve"> </w:t>
      </w:r>
      <w:r w:rsidRPr="00AF15F9">
        <w:t>are</w:t>
      </w:r>
      <w:r w:rsidRPr="00AF15F9">
        <w:rPr>
          <w:spacing w:val="-4"/>
        </w:rPr>
        <w:t xml:space="preserve"> </w:t>
      </w:r>
      <w:r w:rsidRPr="00AF15F9">
        <w:t>unfulfilled</w:t>
      </w:r>
      <w:r w:rsidRPr="00AF15F9">
        <w:rPr>
          <w:spacing w:val="-3"/>
        </w:rPr>
        <w:t xml:space="preserve"> </w:t>
      </w:r>
      <w:r w:rsidRPr="00AF15F9">
        <w:t>as</w:t>
      </w:r>
      <w:r w:rsidRPr="00AF15F9">
        <w:rPr>
          <w:spacing w:val="-2"/>
        </w:rPr>
        <w:t xml:space="preserve"> </w:t>
      </w:r>
      <w:r w:rsidRPr="00AF15F9">
        <w:t>of</w:t>
      </w:r>
      <w:r w:rsidRPr="00AF15F9">
        <w:rPr>
          <w:spacing w:val="-4"/>
        </w:rPr>
        <w:t xml:space="preserve"> </w:t>
      </w:r>
      <w:r w:rsidRPr="00AF15F9">
        <w:t>31</w:t>
      </w:r>
      <w:r w:rsidRPr="00AF15F9">
        <w:rPr>
          <w:spacing w:val="-3"/>
        </w:rPr>
        <w:t xml:space="preserve"> </w:t>
      </w:r>
      <w:r w:rsidRPr="00AF15F9">
        <w:t>December 202</w:t>
      </w:r>
      <w:r w:rsidR="00AF15F9" w:rsidRPr="00AF15F9">
        <w:t>4</w:t>
      </w:r>
      <w:r w:rsidRPr="00AF15F9">
        <w:rPr>
          <w:spacing w:val="-4"/>
        </w:rPr>
        <w:t xml:space="preserve"> </w:t>
      </w:r>
      <w:r w:rsidRPr="00AF15F9">
        <w:t>amount</w:t>
      </w:r>
      <w:r w:rsidRPr="00AF15F9">
        <w:rPr>
          <w:spacing w:val="-4"/>
        </w:rPr>
        <w:t xml:space="preserve"> </w:t>
      </w:r>
      <w:r w:rsidRPr="00AF15F9">
        <w:t>to</w:t>
      </w:r>
      <w:r w:rsidRPr="00AF15F9">
        <w:rPr>
          <w:spacing w:val="-4"/>
        </w:rPr>
        <w:t xml:space="preserve"> </w:t>
      </w:r>
      <w:r w:rsidRPr="00AF15F9">
        <w:t>insignificant</w:t>
      </w:r>
      <w:r w:rsidRPr="00AF15F9">
        <w:rPr>
          <w:spacing w:val="-4"/>
        </w:rPr>
        <w:t xml:space="preserve"> </w:t>
      </w:r>
      <w:r w:rsidRPr="00AF15F9">
        <w:t>amounts. Furthermore, the Group does not have any significant contractual assets and contractual liabilities as of 31 December 202</w:t>
      </w:r>
      <w:r w:rsidR="00AF15F9" w:rsidRPr="00AF15F9">
        <w:t>4</w:t>
      </w:r>
      <w:r w:rsidR="00BB1830">
        <w:t>,</w:t>
      </w:r>
      <w:r w:rsidRPr="00AF15F9">
        <w:t xml:space="preserve"> as of 31 December 202</w:t>
      </w:r>
      <w:r w:rsidR="00AF15F9" w:rsidRPr="00AF15F9">
        <w:t>3</w:t>
      </w:r>
      <w:r w:rsidR="00BB1830">
        <w:t xml:space="preserve"> or as per 1 January 2023.</w:t>
      </w:r>
    </w:p>
    <w:p w14:paraId="3C64F8CD" w14:textId="77777777" w:rsidR="00987DAC" w:rsidRPr="00EF4AF4" w:rsidRDefault="00987DAC" w:rsidP="00EF4AF4">
      <w:pPr>
        <w:pStyle w:val="Brdtext"/>
        <w:spacing w:before="100" w:line="264" w:lineRule="auto"/>
        <w:ind w:left="118" w:right="442"/>
      </w:pPr>
    </w:p>
    <w:p w14:paraId="3C64F8CE" w14:textId="66827497" w:rsidR="00987DAC" w:rsidRPr="005170CF" w:rsidRDefault="00016B4C">
      <w:pPr>
        <w:pStyle w:val="Rubrik5"/>
      </w:pPr>
      <w:r w:rsidRPr="005170CF">
        <w:t>Note</w:t>
      </w:r>
      <w:r w:rsidRPr="005170CF">
        <w:rPr>
          <w:spacing w:val="-4"/>
        </w:rPr>
        <w:t xml:space="preserve"> </w:t>
      </w:r>
      <w:r w:rsidR="005D474B" w:rsidRPr="005170CF">
        <w:t>7</w:t>
      </w:r>
      <w:r w:rsidRPr="005170CF">
        <w:rPr>
          <w:spacing w:val="-3"/>
        </w:rPr>
        <w:t xml:space="preserve"> </w:t>
      </w:r>
      <w:r w:rsidRPr="005170CF">
        <w:t>Segment</w:t>
      </w:r>
      <w:r w:rsidRPr="005170CF">
        <w:rPr>
          <w:spacing w:val="-4"/>
        </w:rPr>
        <w:t xml:space="preserve"> </w:t>
      </w:r>
      <w:r w:rsidRPr="005170CF">
        <w:rPr>
          <w:spacing w:val="-2"/>
        </w:rPr>
        <w:t>reporting</w:t>
      </w:r>
    </w:p>
    <w:p w14:paraId="211D6602" w14:textId="31800F49" w:rsidR="00CB4A28" w:rsidRDefault="005170CF" w:rsidP="00CB4A28">
      <w:pPr>
        <w:pStyle w:val="Brdtext"/>
        <w:spacing w:before="100" w:line="264" w:lineRule="auto"/>
        <w:ind w:left="118" w:right="442"/>
      </w:pPr>
      <w:r w:rsidRPr="005170CF">
        <w:t xml:space="preserve">The Group Management currently identifies the Group's two operating segments geographically, the Nordics and Iberia. The operating segments differ geographically and thus naturally in terms of customer and supplier base, but also in terms of marketing (linguistic and cultural differences), and with different pricing models. These operating segments are monitored by the Group's </w:t>
      </w:r>
      <w:r w:rsidR="00D67D72">
        <w:t xml:space="preserve">operational </w:t>
      </w:r>
      <w:r w:rsidR="00074011">
        <w:t>executives</w:t>
      </w:r>
      <w:r w:rsidRPr="005170CF">
        <w:t>.</w:t>
      </w:r>
      <w:r w:rsidR="00D64B6F">
        <w:t xml:space="preserve"> </w:t>
      </w:r>
      <w:r w:rsidRPr="005170CF">
        <w:t>The performance measures primarily monitored by the Group Management at segment level are Adjusted EBITDA and Adjusted Site EBITDA</w:t>
      </w:r>
      <w:r w:rsidR="00D67D72">
        <w:t>. See note 32 for definitions of alternative performance measures.</w:t>
      </w:r>
    </w:p>
    <w:p w14:paraId="13BBAB36" w14:textId="77777777" w:rsidR="00D64B6F" w:rsidRDefault="00D64B6F" w:rsidP="00CB4A28">
      <w:pPr>
        <w:pStyle w:val="Brdtext"/>
        <w:spacing w:before="100" w:line="264" w:lineRule="auto"/>
        <w:ind w:left="118" w:right="442"/>
      </w:pPr>
    </w:p>
    <w:p w14:paraId="3C64F8D1" w14:textId="0A8832EF" w:rsidR="00987DAC" w:rsidRDefault="00BA60A7" w:rsidP="00CB4A28">
      <w:pPr>
        <w:pStyle w:val="Brdtext"/>
        <w:spacing w:before="100" w:line="264" w:lineRule="auto"/>
        <w:ind w:left="118" w:right="442"/>
      </w:pPr>
      <w:r w:rsidRPr="00BA60A7">
        <w:rPr>
          <w:noProof/>
        </w:rPr>
        <w:drawing>
          <wp:inline distT="0" distB="0" distL="0" distR="0" wp14:anchorId="24467ADA" wp14:editId="4DCAA76B">
            <wp:extent cx="6115050" cy="3181350"/>
            <wp:effectExtent l="0" t="0" r="0" b="0"/>
            <wp:docPr id="153779729"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3181350"/>
                    </a:xfrm>
                    <a:prstGeom prst="rect">
                      <a:avLst/>
                    </a:prstGeom>
                    <a:noFill/>
                    <a:ln>
                      <a:noFill/>
                    </a:ln>
                  </pic:spPr>
                </pic:pic>
              </a:graphicData>
            </a:graphic>
          </wp:inline>
        </w:drawing>
      </w:r>
    </w:p>
    <w:p w14:paraId="22C9EF69" w14:textId="58C7D6E3" w:rsidR="00CF64DB" w:rsidRDefault="00CF64DB" w:rsidP="00CF64DB">
      <w:pPr>
        <w:pStyle w:val="Brdtext"/>
        <w:spacing w:before="100" w:line="264" w:lineRule="auto"/>
        <w:ind w:right="442"/>
        <w:rPr>
          <w:sz w:val="16"/>
          <w:szCs w:val="16"/>
        </w:rPr>
      </w:pPr>
      <w:r w:rsidRPr="00CF64DB">
        <w:rPr>
          <w:sz w:val="16"/>
          <w:szCs w:val="16"/>
        </w:rPr>
        <w:t xml:space="preserve">  * </w:t>
      </w:r>
      <w:r w:rsidR="00CB4A28" w:rsidRPr="00CF64DB">
        <w:rPr>
          <w:sz w:val="16"/>
          <w:szCs w:val="16"/>
        </w:rPr>
        <w:t>The Groups residence country Sweden represents SEK 254,5 million of revenues from external customer and</w:t>
      </w:r>
      <w:r w:rsidRPr="00CF64DB">
        <w:rPr>
          <w:sz w:val="16"/>
          <w:szCs w:val="16"/>
        </w:rPr>
        <w:t xml:space="preserve"> SEK 229,4</w:t>
      </w:r>
      <w:r w:rsidR="003268DD">
        <w:rPr>
          <w:sz w:val="16"/>
          <w:szCs w:val="16"/>
        </w:rPr>
        <w:br/>
        <w:t xml:space="preserve">     </w:t>
      </w:r>
      <w:r w:rsidRPr="00CF64DB">
        <w:rPr>
          <w:sz w:val="16"/>
          <w:szCs w:val="16"/>
        </w:rPr>
        <w:t>million of the fixed assets</w:t>
      </w:r>
    </w:p>
    <w:p w14:paraId="3DEA917F" w14:textId="77777777" w:rsidR="00CF64DB" w:rsidRDefault="00CF64DB">
      <w:pPr>
        <w:rPr>
          <w:sz w:val="16"/>
          <w:szCs w:val="16"/>
        </w:rPr>
      </w:pPr>
      <w:r>
        <w:rPr>
          <w:sz w:val="16"/>
          <w:szCs w:val="16"/>
        </w:rPr>
        <w:br w:type="page"/>
      </w:r>
    </w:p>
    <w:p w14:paraId="6DA67269" w14:textId="615751FF" w:rsidR="00CB4A28" w:rsidRPr="00D82365" w:rsidRDefault="000F6847" w:rsidP="00D82365">
      <w:pPr>
        <w:pStyle w:val="Brdtext"/>
        <w:spacing w:before="100" w:line="264" w:lineRule="auto"/>
        <w:ind w:left="118" w:right="442"/>
      </w:pPr>
      <w:r w:rsidRPr="000F6847">
        <w:rPr>
          <w:noProof/>
        </w:rPr>
        <w:lastRenderedPageBreak/>
        <w:drawing>
          <wp:inline distT="0" distB="0" distL="0" distR="0" wp14:anchorId="7F2107FB" wp14:editId="6A4FA816">
            <wp:extent cx="6115050" cy="3181350"/>
            <wp:effectExtent l="0" t="0" r="0" b="0"/>
            <wp:docPr id="1918420443"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3181350"/>
                    </a:xfrm>
                    <a:prstGeom prst="rect">
                      <a:avLst/>
                    </a:prstGeom>
                    <a:noFill/>
                    <a:ln>
                      <a:noFill/>
                    </a:ln>
                  </pic:spPr>
                </pic:pic>
              </a:graphicData>
            </a:graphic>
          </wp:inline>
        </w:drawing>
      </w:r>
    </w:p>
    <w:p w14:paraId="0ECAFAD5" w14:textId="6110BD86" w:rsidR="00CF0BA4" w:rsidRDefault="00CF0BA4" w:rsidP="00CF0BA4">
      <w:pPr>
        <w:pStyle w:val="Brdtext"/>
        <w:spacing w:before="100" w:line="264" w:lineRule="auto"/>
        <w:ind w:right="442"/>
        <w:rPr>
          <w:sz w:val="16"/>
          <w:szCs w:val="16"/>
        </w:rPr>
      </w:pPr>
      <w:r w:rsidRPr="00CF64DB">
        <w:rPr>
          <w:sz w:val="16"/>
          <w:szCs w:val="16"/>
        </w:rPr>
        <w:t xml:space="preserve">  * The Groups residence country Sweden represents SEK </w:t>
      </w:r>
      <w:r>
        <w:rPr>
          <w:sz w:val="16"/>
          <w:szCs w:val="16"/>
        </w:rPr>
        <w:t>215,0</w:t>
      </w:r>
      <w:r w:rsidRPr="00CF64DB">
        <w:rPr>
          <w:sz w:val="16"/>
          <w:szCs w:val="16"/>
        </w:rPr>
        <w:t xml:space="preserve"> million of revenues from external customer and SEK </w:t>
      </w:r>
      <w:r>
        <w:rPr>
          <w:sz w:val="16"/>
          <w:szCs w:val="16"/>
        </w:rPr>
        <w:t>154,9</w:t>
      </w:r>
      <w:r w:rsidRPr="00CF64DB">
        <w:rPr>
          <w:sz w:val="16"/>
          <w:szCs w:val="16"/>
        </w:rPr>
        <w:t xml:space="preserve"> million of the fixed assets</w:t>
      </w:r>
    </w:p>
    <w:p w14:paraId="3C64F91D" w14:textId="77777777" w:rsidR="00987DAC" w:rsidRPr="00CB4A28" w:rsidRDefault="00987DAC" w:rsidP="00CB4A28">
      <w:pPr>
        <w:pStyle w:val="Brdtext"/>
        <w:spacing w:before="100" w:line="264" w:lineRule="auto"/>
        <w:ind w:left="118" w:right="442"/>
      </w:pPr>
    </w:p>
    <w:p w14:paraId="3C64F91E" w14:textId="164EB170" w:rsidR="00987DAC" w:rsidRDefault="00016B4C">
      <w:pPr>
        <w:pStyle w:val="Rubrik5"/>
        <w:rPr>
          <w:spacing w:val="-4"/>
        </w:rPr>
      </w:pPr>
      <w:r w:rsidRPr="00B60C46">
        <w:t>Note</w:t>
      </w:r>
      <w:r w:rsidRPr="00B60C46">
        <w:rPr>
          <w:spacing w:val="-4"/>
        </w:rPr>
        <w:t xml:space="preserve"> </w:t>
      </w:r>
      <w:r w:rsidR="005170CF">
        <w:rPr>
          <w:spacing w:val="-4"/>
        </w:rPr>
        <w:t>8</w:t>
      </w:r>
      <w:r w:rsidRPr="00B60C46">
        <w:rPr>
          <w:spacing w:val="-2"/>
        </w:rPr>
        <w:t xml:space="preserve"> </w:t>
      </w:r>
      <w:r w:rsidRPr="00B60C46">
        <w:t>Other</w:t>
      </w:r>
      <w:r w:rsidRPr="00B60C46">
        <w:rPr>
          <w:spacing w:val="-3"/>
        </w:rPr>
        <w:t xml:space="preserve"> </w:t>
      </w:r>
      <w:r w:rsidRPr="00B60C46">
        <w:t>external</w:t>
      </w:r>
      <w:r w:rsidRPr="00B60C46">
        <w:rPr>
          <w:spacing w:val="-5"/>
        </w:rPr>
        <w:t xml:space="preserve"> </w:t>
      </w:r>
      <w:r w:rsidRPr="00B60C46">
        <w:rPr>
          <w:spacing w:val="-4"/>
        </w:rPr>
        <w:t>costs</w:t>
      </w:r>
    </w:p>
    <w:p w14:paraId="396CAD41" w14:textId="77777777" w:rsidR="00FF307A" w:rsidRPr="00FF307A" w:rsidRDefault="00FF307A" w:rsidP="00FF307A">
      <w:pPr>
        <w:pStyle w:val="Brdtext"/>
        <w:spacing w:before="100" w:line="264" w:lineRule="auto"/>
        <w:ind w:left="118" w:right="442"/>
      </w:pPr>
    </w:p>
    <w:p w14:paraId="2EA84CB9" w14:textId="0640C29A" w:rsidR="00FF307A" w:rsidRPr="00FF307A" w:rsidRDefault="00FF307A" w:rsidP="00FF307A">
      <w:pPr>
        <w:pStyle w:val="Rubrik5"/>
        <w:rPr>
          <w:spacing w:val="-4"/>
        </w:rPr>
      </w:pPr>
      <w:r w:rsidRPr="00FF307A">
        <w:rPr>
          <w:noProof/>
        </w:rPr>
        <w:drawing>
          <wp:inline distT="0" distB="0" distL="0" distR="0" wp14:anchorId="2052FE7B" wp14:editId="56A5C6F7">
            <wp:extent cx="5362575" cy="1343025"/>
            <wp:effectExtent l="0" t="0" r="9525" b="9525"/>
            <wp:docPr id="148129408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62575" cy="1343025"/>
                    </a:xfrm>
                    <a:prstGeom prst="rect">
                      <a:avLst/>
                    </a:prstGeom>
                    <a:noFill/>
                    <a:ln>
                      <a:noFill/>
                    </a:ln>
                  </pic:spPr>
                </pic:pic>
              </a:graphicData>
            </a:graphic>
          </wp:inline>
        </w:drawing>
      </w:r>
    </w:p>
    <w:p w14:paraId="3C64F91F" w14:textId="77777777" w:rsidR="00987DAC" w:rsidRPr="00B60C46" w:rsidRDefault="00987DAC">
      <w:pPr>
        <w:pStyle w:val="Brdtext"/>
        <w:spacing w:before="11"/>
        <w:rPr>
          <w:b/>
          <w:sz w:val="8"/>
        </w:rPr>
      </w:pPr>
    </w:p>
    <w:p w14:paraId="3C64F939" w14:textId="77777777" w:rsidR="00987DAC" w:rsidRPr="008F26E2" w:rsidRDefault="00987DAC">
      <w:pPr>
        <w:spacing w:line="204" w:lineRule="exact"/>
        <w:jc w:val="right"/>
        <w:rPr>
          <w:color w:val="FF0000"/>
          <w:sz w:val="18"/>
        </w:rPr>
        <w:sectPr w:rsidR="00987DAC" w:rsidRPr="008F26E2">
          <w:pgSz w:w="11910" w:h="16840"/>
          <w:pgMar w:top="1420" w:right="980" w:bottom="900" w:left="1300" w:header="512" w:footer="719" w:gutter="0"/>
          <w:cols w:space="720"/>
        </w:sectPr>
      </w:pPr>
    </w:p>
    <w:p w14:paraId="3C64F93C" w14:textId="697B2E3E" w:rsidR="00987DAC" w:rsidRPr="00AE26F1" w:rsidRDefault="00016B4C">
      <w:pPr>
        <w:ind w:left="118"/>
        <w:rPr>
          <w:b/>
          <w:sz w:val="24"/>
        </w:rPr>
      </w:pPr>
      <w:r w:rsidRPr="00AE26F1">
        <w:rPr>
          <w:b/>
          <w:sz w:val="24"/>
        </w:rPr>
        <w:lastRenderedPageBreak/>
        <w:t>Note</w:t>
      </w:r>
      <w:r w:rsidRPr="00AE26F1">
        <w:rPr>
          <w:b/>
          <w:spacing w:val="-4"/>
          <w:sz w:val="24"/>
        </w:rPr>
        <w:t xml:space="preserve"> </w:t>
      </w:r>
      <w:r w:rsidR="00AE26F1" w:rsidRPr="00AE26F1">
        <w:rPr>
          <w:b/>
          <w:spacing w:val="-4"/>
          <w:sz w:val="24"/>
        </w:rPr>
        <w:t>9</w:t>
      </w:r>
      <w:r w:rsidRPr="00AE26F1">
        <w:rPr>
          <w:b/>
          <w:spacing w:val="-3"/>
          <w:sz w:val="24"/>
        </w:rPr>
        <w:t xml:space="preserve"> </w:t>
      </w:r>
      <w:r w:rsidRPr="00AE26F1">
        <w:rPr>
          <w:b/>
          <w:sz w:val="24"/>
        </w:rPr>
        <w:t>Remuneration</w:t>
      </w:r>
      <w:r w:rsidRPr="00AE26F1">
        <w:rPr>
          <w:b/>
          <w:spacing w:val="-7"/>
          <w:sz w:val="24"/>
        </w:rPr>
        <w:t xml:space="preserve"> </w:t>
      </w:r>
      <w:r w:rsidRPr="00AE26F1">
        <w:rPr>
          <w:b/>
          <w:sz w:val="24"/>
        </w:rPr>
        <w:t>to</w:t>
      </w:r>
      <w:r w:rsidRPr="00AE26F1">
        <w:rPr>
          <w:b/>
          <w:spacing w:val="-4"/>
          <w:sz w:val="24"/>
        </w:rPr>
        <w:t xml:space="preserve"> </w:t>
      </w:r>
      <w:r w:rsidRPr="00AE26F1">
        <w:rPr>
          <w:b/>
          <w:spacing w:val="-2"/>
          <w:sz w:val="24"/>
        </w:rPr>
        <w:t>auditors</w:t>
      </w:r>
    </w:p>
    <w:p w14:paraId="3C64F93D" w14:textId="77777777" w:rsidR="00987DAC" w:rsidRPr="00981670" w:rsidRDefault="00987DAC" w:rsidP="00981670">
      <w:pPr>
        <w:pStyle w:val="Rubrik5"/>
        <w:rPr>
          <w:b w:val="0"/>
          <w:sz w:val="16"/>
          <w:szCs w:val="16"/>
          <w:lang w:val="sv-SE"/>
        </w:rPr>
      </w:pPr>
    </w:p>
    <w:p w14:paraId="3C64F95B" w14:textId="46E5C901" w:rsidR="00987DAC" w:rsidRDefault="00FC4408">
      <w:pPr>
        <w:pStyle w:val="Brdtext"/>
      </w:pPr>
      <w:r>
        <w:t xml:space="preserve">    </w:t>
      </w:r>
      <w:r w:rsidRPr="00FC4408">
        <w:rPr>
          <w:noProof/>
        </w:rPr>
        <w:drawing>
          <wp:inline distT="0" distB="0" distL="0" distR="0" wp14:anchorId="5A5E5546" wp14:editId="558B1F9A">
            <wp:extent cx="4886325" cy="3827477"/>
            <wp:effectExtent l="0" t="0" r="0" b="1905"/>
            <wp:docPr id="1253193702"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88771" cy="3829393"/>
                    </a:xfrm>
                    <a:prstGeom prst="rect">
                      <a:avLst/>
                    </a:prstGeom>
                    <a:noFill/>
                    <a:ln>
                      <a:noFill/>
                    </a:ln>
                  </pic:spPr>
                </pic:pic>
              </a:graphicData>
            </a:graphic>
          </wp:inline>
        </w:drawing>
      </w:r>
    </w:p>
    <w:p w14:paraId="3A5212B1" w14:textId="77777777" w:rsidR="00BA6486" w:rsidRPr="004019C6" w:rsidRDefault="00BA6486" w:rsidP="004019C6">
      <w:pPr>
        <w:pStyle w:val="Brdtext"/>
        <w:spacing w:line="264" w:lineRule="auto"/>
        <w:ind w:left="118" w:right="262"/>
        <w:rPr>
          <w:lang w:val="sv-SE"/>
        </w:rPr>
      </w:pPr>
    </w:p>
    <w:p w14:paraId="5D67692C" w14:textId="77777777" w:rsidR="004019C6" w:rsidRDefault="009D2535" w:rsidP="004019C6">
      <w:pPr>
        <w:pStyle w:val="Brdtext"/>
        <w:spacing w:line="264" w:lineRule="auto"/>
        <w:ind w:left="118" w:right="262"/>
        <w:rPr>
          <w:lang w:val="sv-SE"/>
        </w:rPr>
      </w:pPr>
      <w:r w:rsidRPr="004019C6">
        <w:rPr>
          <w:lang w:val="sv-SE"/>
        </w:rPr>
        <w:t>The item Other services relating to PriceWaterhouseCoopers Sweden includes fees of SEK 92 thousand (0) in connection with the Group's refinancing, which have been reported as Other financial expenses.</w:t>
      </w:r>
    </w:p>
    <w:p w14:paraId="5B345D40" w14:textId="77777777" w:rsidR="004019C6" w:rsidRDefault="004019C6" w:rsidP="004019C6">
      <w:pPr>
        <w:pStyle w:val="Brdtext"/>
        <w:spacing w:line="264" w:lineRule="auto"/>
        <w:ind w:left="118" w:right="262"/>
        <w:rPr>
          <w:lang w:val="sv-SE"/>
        </w:rPr>
      </w:pPr>
    </w:p>
    <w:p w14:paraId="3C64F98E" w14:textId="633AA0B6" w:rsidR="00987DAC" w:rsidRPr="000721BA" w:rsidRDefault="00016B4C" w:rsidP="004019C6">
      <w:pPr>
        <w:pStyle w:val="Brdtext"/>
        <w:spacing w:line="264" w:lineRule="auto"/>
        <w:ind w:left="118" w:right="262"/>
      </w:pPr>
      <w:r w:rsidRPr="000721BA">
        <w:t>Audit</w:t>
      </w:r>
      <w:r w:rsidRPr="000721BA">
        <w:rPr>
          <w:spacing w:val="-3"/>
        </w:rPr>
        <w:t xml:space="preserve"> </w:t>
      </w:r>
      <w:r w:rsidRPr="000721BA">
        <w:t>assignments</w:t>
      </w:r>
      <w:r w:rsidRPr="000721BA">
        <w:rPr>
          <w:spacing w:val="-2"/>
        </w:rPr>
        <w:t xml:space="preserve"> </w:t>
      </w:r>
      <w:r w:rsidRPr="000721BA">
        <w:t>refers</w:t>
      </w:r>
      <w:r w:rsidRPr="000721BA">
        <w:rPr>
          <w:spacing w:val="-2"/>
        </w:rPr>
        <w:t xml:space="preserve"> </w:t>
      </w:r>
      <w:r w:rsidRPr="000721BA">
        <w:t>to</w:t>
      </w:r>
      <w:r w:rsidRPr="000721BA">
        <w:rPr>
          <w:spacing w:val="-3"/>
        </w:rPr>
        <w:t xml:space="preserve"> </w:t>
      </w:r>
      <w:r w:rsidRPr="000721BA">
        <w:t>the</w:t>
      </w:r>
      <w:r w:rsidRPr="000721BA">
        <w:rPr>
          <w:spacing w:val="-3"/>
        </w:rPr>
        <w:t xml:space="preserve"> </w:t>
      </w:r>
      <w:r w:rsidRPr="000721BA">
        <w:t>auditor's</w:t>
      </w:r>
      <w:r w:rsidRPr="000721BA">
        <w:rPr>
          <w:spacing w:val="-2"/>
        </w:rPr>
        <w:t xml:space="preserve"> </w:t>
      </w:r>
      <w:r w:rsidRPr="000721BA">
        <w:t>remuneration</w:t>
      </w:r>
      <w:r w:rsidRPr="000721BA">
        <w:rPr>
          <w:spacing w:val="-3"/>
        </w:rPr>
        <w:t xml:space="preserve"> </w:t>
      </w:r>
      <w:r w:rsidRPr="000721BA">
        <w:t>for</w:t>
      </w:r>
      <w:r w:rsidRPr="000721BA">
        <w:rPr>
          <w:spacing w:val="-3"/>
        </w:rPr>
        <w:t xml:space="preserve"> </w:t>
      </w:r>
      <w:r w:rsidRPr="000721BA">
        <w:t>the</w:t>
      </w:r>
      <w:r w:rsidRPr="000721BA">
        <w:rPr>
          <w:spacing w:val="-3"/>
        </w:rPr>
        <w:t xml:space="preserve"> </w:t>
      </w:r>
      <w:r w:rsidRPr="000721BA">
        <w:t>statutory</w:t>
      </w:r>
      <w:r w:rsidRPr="000721BA">
        <w:rPr>
          <w:spacing w:val="-2"/>
        </w:rPr>
        <w:t xml:space="preserve"> </w:t>
      </w:r>
      <w:r w:rsidRPr="000721BA">
        <w:t>audit.</w:t>
      </w:r>
      <w:r w:rsidRPr="000721BA">
        <w:rPr>
          <w:spacing w:val="-5"/>
        </w:rPr>
        <w:t xml:space="preserve"> </w:t>
      </w:r>
      <w:r w:rsidRPr="000721BA">
        <w:t>The</w:t>
      </w:r>
      <w:r w:rsidRPr="000721BA">
        <w:rPr>
          <w:spacing w:val="-5"/>
        </w:rPr>
        <w:t xml:space="preserve"> </w:t>
      </w:r>
      <w:r w:rsidRPr="000721BA">
        <w:t>work</w:t>
      </w:r>
      <w:r w:rsidRPr="000721BA">
        <w:rPr>
          <w:spacing w:val="-4"/>
        </w:rPr>
        <w:t xml:space="preserve"> </w:t>
      </w:r>
      <w:r w:rsidRPr="000721BA">
        <w:t>covers</w:t>
      </w:r>
      <w:r w:rsidRPr="000721BA">
        <w:rPr>
          <w:spacing w:val="-2"/>
        </w:rPr>
        <w:t xml:space="preserve"> </w:t>
      </w:r>
      <w:r w:rsidRPr="000721BA">
        <w:t>the</w:t>
      </w:r>
      <w:r w:rsidRPr="000721BA">
        <w:rPr>
          <w:spacing w:val="-3"/>
        </w:rPr>
        <w:t xml:space="preserve"> </w:t>
      </w:r>
      <w:r w:rsidRPr="000721BA">
        <w:t>audit</w:t>
      </w:r>
      <w:r w:rsidRPr="000721BA">
        <w:rPr>
          <w:spacing w:val="-5"/>
        </w:rPr>
        <w:t xml:space="preserve"> </w:t>
      </w:r>
      <w:r w:rsidRPr="000721BA">
        <w:t>of</w:t>
      </w:r>
      <w:r w:rsidRPr="000721BA">
        <w:rPr>
          <w:spacing w:val="-3"/>
        </w:rPr>
        <w:t xml:space="preserve"> </w:t>
      </w:r>
      <w:r w:rsidRPr="000721BA">
        <w:t xml:space="preserve">the annual report and consolidated financial statements and the accounting, the administration of the Board of Directors and the Chief Executive Officer and fees for audit advice provided in connection with the audit </w:t>
      </w:r>
      <w:r w:rsidRPr="000721BA">
        <w:rPr>
          <w:spacing w:val="-2"/>
        </w:rPr>
        <w:t>assignment.</w:t>
      </w:r>
    </w:p>
    <w:p w14:paraId="3C64F98F" w14:textId="77777777" w:rsidR="00987DAC" w:rsidRPr="004019C6" w:rsidRDefault="00987DAC" w:rsidP="004019C6">
      <w:pPr>
        <w:pStyle w:val="Brdtext"/>
        <w:spacing w:line="264" w:lineRule="auto"/>
        <w:ind w:left="118" w:right="262"/>
        <w:rPr>
          <w:lang w:val="sv-SE"/>
        </w:rPr>
      </w:pPr>
    </w:p>
    <w:p w14:paraId="3C64F990" w14:textId="77777777" w:rsidR="00987DAC" w:rsidRPr="000721BA" w:rsidRDefault="00016B4C">
      <w:pPr>
        <w:pStyle w:val="Brdtext"/>
        <w:spacing w:line="264" w:lineRule="auto"/>
        <w:ind w:left="118"/>
      </w:pPr>
      <w:r w:rsidRPr="000721BA">
        <w:t>Audit</w:t>
      </w:r>
      <w:r w:rsidRPr="000721BA">
        <w:rPr>
          <w:spacing w:val="-2"/>
        </w:rPr>
        <w:t xml:space="preserve"> </w:t>
      </w:r>
      <w:r w:rsidRPr="000721BA">
        <w:t>activities</w:t>
      </w:r>
      <w:r w:rsidRPr="000721BA">
        <w:rPr>
          <w:spacing w:val="-1"/>
        </w:rPr>
        <w:t xml:space="preserve"> </w:t>
      </w:r>
      <w:r w:rsidRPr="000721BA">
        <w:t>in</w:t>
      </w:r>
      <w:r w:rsidRPr="000721BA">
        <w:rPr>
          <w:spacing w:val="-4"/>
        </w:rPr>
        <w:t xml:space="preserve"> </w:t>
      </w:r>
      <w:r w:rsidRPr="000721BA">
        <w:t>addition</w:t>
      </w:r>
      <w:r w:rsidRPr="000721BA">
        <w:rPr>
          <w:spacing w:val="-2"/>
        </w:rPr>
        <w:t xml:space="preserve"> </w:t>
      </w:r>
      <w:r w:rsidRPr="000721BA">
        <w:t>to</w:t>
      </w:r>
      <w:r w:rsidRPr="000721BA">
        <w:rPr>
          <w:spacing w:val="-4"/>
        </w:rPr>
        <w:t xml:space="preserve"> </w:t>
      </w:r>
      <w:r w:rsidRPr="000721BA">
        <w:t>the</w:t>
      </w:r>
      <w:r w:rsidRPr="000721BA">
        <w:rPr>
          <w:spacing w:val="-2"/>
        </w:rPr>
        <w:t xml:space="preserve"> </w:t>
      </w:r>
      <w:r w:rsidRPr="000721BA">
        <w:t>audit assignment</w:t>
      </w:r>
      <w:r w:rsidRPr="000721BA">
        <w:rPr>
          <w:spacing w:val="-4"/>
        </w:rPr>
        <w:t xml:space="preserve"> </w:t>
      </w:r>
      <w:r w:rsidRPr="000721BA">
        <w:t>concerns</w:t>
      </w:r>
      <w:r w:rsidRPr="000721BA">
        <w:rPr>
          <w:spacing w:val="-3"/>
        </w:rPr>
        <w:t xml:space="preserve"> </w:t>
      </w:r>
      <w:r w:rsidRPr="000721BA">
        <w:t>other</w:t>
      </w:r>
      <w:r w:rsidRPr="000721BA">
        <w:rPr>
          <w:spacing w:val="-2"/>
        </w:rPr>
        <w:t xml:space="preserve"> </w:t>
      </w:r>
      <w:r w:rsidRPr="000721BA">
        <w:t>tasks</w:t>
      </w:r>
      <w:r w:rsidRPr="000721BA">
        <w:rPr>
          <w:spacing w:val="-1"/>
        </w:rPr>
        <w:t xml:space="preserve"> </w:t>
      </w:r>
      <w:r w:rsidRPr="000721BA">
        <w:t>that</w:t>
      </w:r>
      <w:r w:rsidRPr="000721BA">
        <w:rPr>
          <w:spacing w:val="-2"/>
        </w:rPr>
        <w:t xml:space="preserve"> </w:t>
      </w:r>
      <w:r w:rsidRPr="000721BA">
        <w:t>it</w:t>
      </w:r>
      <w:r w:rsidRPr="000721BA">
        <w:rPr>
          <w:spacing w:val="-2"/>
        </w:rPr>
        <w:t xml:space="preserve"> </w:t>
      </w:r>
      <w:r w:rsidRPr="000721BA">
        <w:t>rests</w:t>
      </w:r>
      <w:r w:rsidRPr="000721BA">
        <w:rPr>
          <w:spacing w:val="-3"/>
        </w:rPr>
        <w:t xml:space="preserve"> </w:t>
      </w:r>
      <w:r w:rsidRPr="000721BA">
        <w:t>upon</w:t>
      </w:r>
      <w:r w:rsidRPr="000721BA">
        <w:rPr>
          <w:spacing w:val="-4"/>
        </w:rPr>
        <w:t xml:space="preserve"> </w:t>
      </w:r>
      <w:r w:rsidRPr="000721BA">
        <w:t>the</w:t>
      </w:r>
      <w:r w:rsidRPr="000721BA">
        <w:rPr>
          <w:spacing w:val="-2"/>
        </w:rPr>
        <w:t xml:space="preserve"> </w:t>
      </w:r>
      <w:r w:rsidRPr="000721BA">
        <w:t>company's</w:t>
      </w:r>
      <w:r w:rsidRPr="000721BA">
        <w:rPr>
          <w:spacing w:val="-3"/>
        </w:rPr>
        <w:t xml:space="preserve"> </w:t>
      </w:r>
      <w:r w:rsidRPr="000721BA">
        <w:t>auditor</w:t>
      </w:r>
      <w:r w:rsidRPr="000721BA">
        <w:rPr>
          <w:spacing w:val="-2"/>
        </w:rPr>
        <w:t xml:space="preserve"> </w:t>
      </w:r>
      <w:r w:rsidRPr="000721BA">
        <w:t>to perform, as well as advice or other assistance arising from observations made during such an audit.</w:t>
      </w:r>
    </w:p>
    <w:p w14:paraId="3C64F991" w14:textId="77777777" w:rsidR="00987DAC" w:rsidRPr="004019C6" w:rsidRDefault="00987DAC" w:rsidP="004019C6">
      <w:pPr>
        <w:pStyle w:val="Brdtext"/>
        <w:spacing w:line="264" w:lineRule="auto"/>
        <w:ind w:left="118" w:right="262"/>
        <w:rPr>
          <w:lang w:val="sv-SE"/>
        </w:rPr>
      </w:pPr>
    </w:p>
    <w:p w14:paraId="3C64F992" w14:textId="77777777" w:rsidR="00987DAC" w:rsidRPr="000721BA" w:rsidRDefault="00016B4C">
      <w:pPr>
        <w:pStyle w:val="Brdtext"/>
        <w:spacing w:line="264" w:lineRule="auto"/>
        <w:ind w:left="118" w:right="463"/>
      </w:pPr>
      <w:r w:rsidRPr="000721BA">
        <w:t>Tax</w:t>
      </w:r>
      <w:r w:rsidRPr="000721BA">
        <w:rPr>
          <w:spacing w:val="-2"/>
        </w:rPr>
        <w:t xml:space="preserve"> </w:t>
      </w:r>
      <w:r w:rsidRPr="000721BA">
        <w:t>advice</w:t>
      </w:r>
      <w:r w:rsidRPr="000721BA">
        <w:rPr>
          <w:spacing w:val="-3"/>
        </w:rPr>
        <w:t xml:space="preserve"> </w:t>
      </w:r>
      <w:r w:rsidRPr="000721BA">
        <w:t>refers</w:t>
      </w:r>
      <w:r w:rsidRPr="000721BA">
        <w:rPr>
          <w:spacing w:val="-2"/>
        </w:rPr>
        <w:t xml:space="preserve"> </w:t>
      </w:r>
      <w:r w:rsidRPr="000721BA">
        <w:t>to</w:t>
      </w:r>
      <w:r w:rsidRPr="000721BA">
        <w:rPr>
          <w:spacing w:val="-4"/>
        </w:rPr>
        <w:t xml:space="preserve"> </w:t>
      </w:r>
      <w:r w:rsidRPr="000721BA">
        <w:t>all</w:t>
      </w:r>
      <w:r w:rsidRPr="000721BA">
        <w:rPr>
          <w:spacing w:val="-4"/>
        </w:rPr>
        <w:t xml:space="preserve"> </w:t>
      </w:r>
      <w:r w:rsidRPr="000721BA">
        <w:t>tax-related</w:t>
      </w:r>
      <w:r w:rsidRPr="000721BA">
        <w:rPr>
          <w:spacing w:val="-4"/>
        </w:rPr>
        <w:t xml:space="preserve"> </w:t>
      </w:r>
      <w:r w:rsidRPr="000721BA">
        <w:t>services</w:t>
      </w:r>
      <w:r w:rsidRPr="000721BA">
        <w:rPr>
          <w:spacing w:val="-3"/>
        </w:rPr>
        <w:t xml:space="preserve"> </w:t>
      </w:r>
      <w:r w:rsidRPr="000721BA">
        <w:t>such</w:t>
      </w:r>
      <w:r w:rsidRPr="000721BA">
        <w:rPr>
          <w:spacing w:val="-3"/>
        </w:rPr>
        <w:t xml:space="preserve"> </w:t>
      </w:r>
      <w:r w:rsidRPr="000721BA">
        <w:t>as</w:t>
      </w:r>
      <w:r w:rsidRPr="000721BA">
        <w:rPr>
          <w:spacing w:val="-2"/>
        </w:rPr>
        <w:t xml:space="preserve"> </w:t>
      </w:r>
      <w:r w:rsidRPr="000721BA">
        <w:t>assistance</w:t>
      </w:r>
      <w:r w:rsidRPr="000721BA">
        <w:rPr>
          <w:spacing w:val="-3"/>
        </w:rPr>
        <w:t xml:space="preserve"> </w:t>
      </w:r>
      <w:r w:rsidRPr="000721BA">
        <w:t>in</w:t>
      </w:r>
      <w:r w:rsidRPr="000721BA">
        <w:rPr>
          <w:spacing w:val="-3"/>
        </w:rPr>
        <w:t xml:space="preserve"> </w:t>
      </w:r>
      <w:r w:rsidRPr="000721BA">
        <w:t>tax</w:t>
      </w:r>
      <w:r w:rsidRPr="000721BA">
        <w:rPr>
          <w:spacing w:val="-2"/>
        </w:rPr>
        <w:t xml:space="preserve"> </w:t>
      </w:r>
      <w:r w:rsidRPr="000721BA">
        <w:t>calculation,</w:t>
      </w:r>
      <w:r w:rsidRPr="000721BA">
        <w:rPr>
          <w:spacing w:val="-3"/>
        </w:rPr>
        <w:t xml:space="preserve"> </w:t>
      </w:r>
      <w:r w:rsidRPr="000721BA">
        <w:t>preparing</w:t>
      </w:r>
      <w:r w:rsidRPr="000721BA">
        <w:rPr>
          <w:spacing w:val="-4"/>
        </w:rPr>
        <w:t xml:space="preserve"> </w:t>
      </w:r>
      <w:r w:rsidRPr="000721BA">
        <w:t>tax</w:t>
      </w:r>
      <w:r w:rsidRPr="000721BA">
        <w:rPr>
          <w:spacing w:val="-2"/>
        </w:rPr>
        <w:t xml:space="preserve"> </w:t>
      </w:r>
      <w:r w:rsidRPr="000721BA">
        <w:t>returns</w:t>
      </w:r>
      <w:r w:rsidRPr="000721BA">
        <w:rPr>
          <w:spacing w:val="-2"/>
        </w:rPr>
        <w:t xml:space="preserve"> </w:t>
      </w:r>
      <w:r w:rsidRPr="000721BA">
        <w:t>and consultations regarding VAT, excise duties and personnel issues.</w:t>
      </w:r>
    </w:p>
    <w:p w14:paraId="3C64F993" w14:textId="77777777" w:rsidR="00987DAC" w:rsidRPr="004019C6" w:rsidRDefault="00987DAC" w:rsidP="004019C6">
      <w:pPr>
        <w:pStyle w:val="Brdtext"/>
        <w:spacing w:line="264" w:lineRule="auto"/>
        <w:ind w:left="118" w:right="262"/>
        <w:rPr>
          <w:lang w:val="sv-SE"/>
        </w:rPr>
      </w:pPr>
    </w:p>
    <w:p w14:paraId="3C64F994" w14:textId="77777777" w:rsidR="00987DAC" w:rsidRPr="000721BA" w:rsidRDefault="00016B4C">
      <w:pPr>
        <w:pStyle w:val="Brdtext"/>
        <w:spacing w:before="1"/>
        <w:ind w:left="118"/>
      </w:pPr>
      <w:r w:rsidRPr="000721BA">
        <w:t>All</w:t>
      </w:r>
      <w:r w:rsidRPr="000721BA">
        <w:rPr>
          <w:spacing w:val="-2"/>
        </w:rPr>
        <w:t xml:space="preserve"> </w:t>
      </w:r>
      <w:r w:rsidRPr="000721BA">
        <w:t>other</w:t>
      </w:r>
      <w:r w:rsidRPr="000721BA">
        <w:rPr>
          <w:spacing w:val="-2"/>
        </w:rPr>
        <w:t xml:space="preserve"> </w:t>
      </w:r>
      <w:r w:rsidRPr="000721BA">
        <w:t>work</w:t>
      </w:r>
      <w:r w:rsidRPr="000721BA">
        <w:rPr>
          <w:spacing w:val="-1"/>
        </w:rPr>
        <w:t xml:space="preserve"> </w:t>
      </w:r>
      <w:r w:rsidRPr="000721BA">
        <w:t>carried</w:t>
      </w:r>
      <w:r w:rsidRPr="000721BA">
        <w:rPr>
          <w:spacing w:val="-2"/>
        </w:rPr>
        <w:t xml:space="preserve"> </w:t>
      </w:r>
      <w:r w:rsidRPr="000721BA">
        <w:t>out</w:t>
      </w:r>
      <w:r w:rsidRPr="000721BA">
        <w:rPr>
          <w:spacing w:val="-3"/>
        </w:rPr>
        <w:t xml:space="preserve"> </w:t>
      </w:r>
      <w:r w:rsidRPr="000721BA">
        <w:t>by</w:t>
      </w:r>
      <w:r w:rsidRPr="000721BA">
        <w:rPr>
          <w:spacing w:val="-4"/>
        </w:rPr>
        <w:t xml:space="preserve"> </w:t>
      </w:r>
      <w:r w:rsidRPr="000721BA">
        <w:t>the</w:t>
      </w:r>
      <w:r w:rsidRPr="000721BA">
        <w:rPr>
          <w:spacing w:val="-2"/>
        </w:rPr>
        <w:t xml:space="preserve"> </w:t>
      </w:r>
      <w:r w:rsidRPr="000721BA">
        <w:t>auditor</w:t>
      </w:r>
      <w:r w:rsidRPr="000721BA">
        <w:rPr>
          <w:spacing w:val="-4"/>
        </w:rPr>
        <w:t xml:space="preserve"> </w:t>
      </w:r>
      <w:r w:rsidRPr="000721BA">
        <w:t>is</w:t>
      </w:r>
      <w:r w:rsidRPr="000721BA">
        <w:rPr>
          <w:spacing w:val="-2"/>
        </w:rPr>
        <w:t xml:space="preserve"> </w:t>
      </w:r>
      <w:r w:rsidRPr="000721BA">
        <w:t>defined</w:t>
      </w:r>
      <w:r w:rsidRPr="000721BA">
        <w:rPr>
          <w:spacing w:val="-4"/>
        </w:rPr>
        <w:t xml:space="preserve"> </w:t>
      </w:r>
      <w:r w:rsidRPr="000721BA">
        <w:t>as</w:t>
      </w:r>
      <w:r w:rsidRPr="000721BA">
        <w:rPr>
          <w:spacing w:val="-3"/>
        </w:rPr>
        <w:t xml:space="preserve"> </w:t>
      </w:r>
      <w:r w:rsidRPr="000721BA">
        <w:t>other</w:t>
      </w:r>
      <w:r w:rsidRPr="000721BA">
        <w:rPr>
          <w:spacing w:val="-3"/>
        </w:rPr>
        <w:t xml:space="preserve"> </w:t>
      </w:r>
      <w:r w:rsidRPr="000721BA">
        <w:rPr>
          <w:spacing w:val="-2"/>
        </w:rPr>
        <w:t>services.</w:t>
      </w:r>
    </w:p>
    <w:p w14:paraId="3C64F995" w14:textId="77777777" w:rsidR="00987DAC" w:rsidRPr="000721BA" w:rsidRDefault="00987DAC">
      <w:pPr>
        <w:sectPr w:rsidR="00987DAC" w:rsidRPr="000721BA">
          <w:pgSz w:w="11910" w:h="16840"/>
          <w:pgMar w:top="1420" w:right="980" w:bottom="900" w:left="1300" w:header="512" w:footer="719" w:gutter="0"/>
          <w:cols w:space="720"/>
        </w:sectPr>
      </w:pPr>
    </w:p>
    <w:p w14:paraId="3C64F998" w14:textId="69C3D585" w:rsidR="00987DAC" w:rsidRPr="001D3E1C" w:rsidRDefault="00016B4C">
      <w:pPr>
        <w:pStyle w:val="Rubrik5"/>
        <w:rPr>
          <w:lang w:val="sv-SE"/>
        </w:rPr>
      </w:pPr>
      <w:r w:rsidRPr="001D3E1C">
        <w:rPr>
          <w:lang w:val="sv-SE"/>
        </w:rPr>
        <w:lastRenderedPageBreak/>
        <w:t xml:space="preserve">Note </w:t>
      </w:r>
      <w:r w:rsidR="009F42FD" w:rsidRPr="001D3E1C">
        <w:rPr>
          <w:lang w:val="sv-SE"/>
        </w:rPr>
        <w:t>10</w:t>
      </w:r>
      <w:r w:rsidRPr="001D3E1C">
        <w:rPr>
          <w:lang w:val="sv-SE"/>
        </w:rPr>
        <w:t xml:space="preserve"> Number of employees, personnel costs and senior executives</w:t>
      </w:r>
    </w:p>
    <w:p w14:paraId="08EE419A" w14:textId="77777777" w:rsidR="00127937" w:rsidRDefault="00127937">
      <w:pPr>
        <w:pStyle w:val="Rubrik5"/>
        <w:rPr>
          <w:b w:val="0"/>
          <w:sz w:val="16"/>
          <w:szCs w:val="16"/>
          <w:lang w:val="sv-SE"/>
        </w:rPr>
      </w:pPr>
    </w:p>
    <w:p w14:paraId="73E5B257" w14:textId="7E2CF911" w:rsidR="002419C9" w:rsidRDefault="00185BE1">
      <w:pPr>
        <w:pStyle w:val="Rubrik5"/>
        <w:rPr>
          <w:b w:val="0"/>
          <w:sz w:val="16"/>
          <w:szCs w:val="16"/>
          <w:lang w:val="sv-SE"/>
        </w:rPr>
      </w:pPr>
      <w:r w:rsidRPr="00185BE1">
        <w:rPr>
          <w:noProof/>
        </w:rPr>
        <w:drawing>
          <wp:inline distT="0" distB="0" distL="0" distR="0" wp14:anchorId="57FC8B9B" wp14:editId="277D5501">
            <wp:extent cx="5019675" cy="4916177"/>
            <wp:effectExtent l="0" t="0" r="0" b="0"/>
            <wp:docPr id="225850653"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21461" cy="4917926"/>
                    </a:xfrm>
                    <a:prstGeom prst="rect">
                      <a:avLst/>
                    </a:prstGeom>
                    <a:noFill/>
                    <a:ln>
                      <a:noFill/>
                    </a:ln>
                  </pic:spPr>
                </pic:pic>
              </a:graphicData>
            </a:graphic>
          </wp:inline>
        </w:drawing>
      </w:r>
    </w:p>
    <w:p w14:paraId="6E4BD27C" w14:textId="77777777" w:rsidR="00185BE1" w:rsidRDefault="00185BE1">
      <w:pPr>
        <w:pStyle w:val="Rubrik5"/>
        <w:rPr>
          <w:b w:val="0"/>
          <w:sz w:val="16"/>
          <w:szCs w:val="16"/>
          <w:lang w:val="sv-SE"/>
        </w:rPr>
      </w:pPr>
    </w:p>
    <w:p w14:paraId="7B8DBA00" w14:textId="3B2D73DA" w:rsidR="00840582" w:rsidRPr="002419C9" w:rsidRDefault="00877CAB" w:rsidP="00FA5772">
      <w:pPr>
        <w:pStyle w:val="Rubrik5"/>
        <w:rPr>
          <w:b w:val="0"/>
          <w:sz w:val="16"/>
          <w:szCs w:val="16"/>
          <w:lang w:val="sv-SE"/>
        </w:rPr>
      </w:pPr>
      <w:r w:rsidRPr="00877CAB">
        <w:rPr>
          <w:noProof/>
        </w:rPr>
        <w:drawing>
          <wp:inline distT="0" distB="0" distL="0" distR="0" wp14:anchorId="39AE6C36" wp14:editId="36AA37B6">
            <wp:extent cx="5676900" cy="2810154"/>
            <wp:effectExtent l="0" t="0" r="0" b="9525"/>
            <wp:docPr id="700816347"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2248" cy="2812801"/>
                    </a:xfrm>
                    <a:prstGeom prst="rect">
                      <a:avLst/>
                    </a:prstGeom>
                    <a:noFill/>
                    <a:ln>
                      <a:noFill/>
                    </a:ln>
                  </pic:spPr>
                </pic:pic>
              </a:graphicData>
            </a:graphic>
          </wp:inline>
        </w:drawing>
      </w:r>
    </w:p>
    <w:p w14:paraId="3C64FA03" w14:textId="77777777" w:rsidR="00987DAC" w:rsidRPr="003407D5" w:rsidRDefault="00987DAC">
      <w:pPr>
        <w:pStyle w:val="Brdtext"/>
        <w:spacing w:before="10" w:after="1"/>
        <w:rPr>
          <w:b/>
        </w:rPr>
      </w:pPr>
    </w:p>
    <w:p w14:paraId="3C64FA4C" w14:textId="77777777" w:rsidR="00987DAC" w:rsidRPr="008F26E2" w:rsidRDefault="00987DAC">
      <w:pPr>
        <w:spacing w:line="206" w:lineRule="exact"/>
        <w:jc w:val="right"/>
        <w:rPr>
          <w:color w:val="FF0000"/>
          <w:sz w:val="18"/>
        </w:rPr>
        <w:sectPr w:rsidR="00987DAC" w:rsidRPr="008F26E2">
          <w:pgSz w:w="11910" w:h="16840"/>
          <w:pgMar w:top="1420" w:right="980" w:bottom="900" w:left="1300" w:header="512" w:footer="719" w:gutter="0"/>
          <w:cols w:space="720"/>
        </w:sectPr>
      </w:pPr>
    </w:p>
    <w:p w14:paraId="3C64FA4E" w14:textId="4AD5A744" w:rsidR="00987DAC" w:rsidRPr="000B0C6B" w:rsidRDefault="000738C5">
      <w:pPr>
        <w:pStyle w:val="Brdtext"/>
        <w:rPr>
          <w:b/>
          <w:sz w:val="20"/>
        </w:rPr>
      </w:pPr>
      <w:r w:rsidRPr="000B0C6B">
        <w:rPr>
          <w:noProof/>
        </w:rPr>
        <w:lastRenderedPageBreak/>
        <w:drawing>
          <wp:inline distT="0" distB="0" distL="0" distR="0" wp14:anchorId="12B3D480" wp14:editId="4377AE27">
            <wp:extent cx="6115050" cy="3027045"/>
            <wp:effectExtent l="0" t="0" r="0" b="1905"/>
            <wp:docPr id="186533278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3027045"/>
                    </a:xfrm>
                    <a:prstGeom prst="rect">
                      <a:avLst/>
                    </a:prstGeom>
                    <a:noFill/>
                    <a:ln>
                      <a:noFill/>
                    </a:ln>
                  </pic:spPr>
                </pic:pic>
              </a:graphicData>
            </a:graphic>
          </wp:inline>
        </w:drawing>
      </w:r>
    </w:p>
    <w:p w14:paraId="3C64FA8A" w14:textId="77777777" w:rsidR="00987DAC" w:rsidRPr="00E845BC" w:rsidRDefault="00987DAC">
      <w:pPr>
        <w:pStyle w:val="Brdtext"/>
        <w:spacing w:before="27"/>
        <w:rPr>
          <w:b/>
        </w:rPr>
      </w:pPr>
    </w:p>
    <w:p w14:paraId="3C64FA8B" w14:textId="51BF7760" w:rsidR="00987DAC" w:rsidRPr="00E845BC" w:rsidRDefault="00AD50AD">
      <w:pPr>
        <w:pStyle w:val="Brdtext"/>
        <w:ind w:left="118"/>
      </w:pPr>
      <w:r>
        <w:t>Board members receives no remunerations.</w:t>
      </w:r>
      <w:r w:rsidR="00016B4C" w:rsidRPr="00E845BC">
        <w:t>The</w:t>
      </w:r>
      <w:r w:rsidR="00016B4C" w:rsidRPr="00E845BC">
        <w:rPr>
          <w:spacing w:val="-2"/>
        </w:rPr>
        <w:t xml:space="preserve"> </w:t>
      </w:r>
      <w:r w:rsidR="00016B4C" w:rsidRPr="00E845BC">
        <w:t>Group</w:t>
      </w:r>
      <w:r w:rsidR="00016B4C" w:rsidRPr="00E845BC">
        <w:rPr>
          <w:spacing w:val="-4"/>
        </w:rPr>
        <w:t xml:space="preserve"> </w:t>
      </w:r>
      <w:r w:rsidR="00016B4C" w:rsidRPr="00E845BC">
        <w:t>had,</w:t>
      </w:r>
      <w:r w:rsidR="00016B4C" w:rsidRPr="00E845BC">
        <w:rPr>
          <w:spacing w:val="-2"/>
        </w:rPr>
        <w:t xml:space="preserve"> </w:t>
      </w:r>
      <w:r w:rsidR="00016B4C" w:rsidRPr="00E845BC">
        <w:t>at</w:t>
      </w:r>
      <w:r w:rsidR="00016B4C" w:rsidRPr="00E845BC">
        <w:rPr>
          <w:spacing w:val="-3"/>
        </w:rPr>
        <w:t xml:space="preserve"> </w:t>
      </w:r>
      <w:r w:rsidR="00016B4C" w:rsidRPr="00E845BC">
        <w:t>the</w:t>
      </w:r>
      <w:r w:rsidR="00016B4C" w:rsidRPr="00E845BC">
        <w:rPr>
          <w:spacing w:val="-4"/>
        </w:rPr>
        <w:t xml:space="preserve"> </w:t>
      </w:r>
      <w:r w:rsidR="00016B4C" w:rsidRPr="00E845BC">
        <w:t>end</w:t>
      </w:r>
      <w:r w:rsidR="00016B4C" w:rsidRPr="00E845BC">
        <w:rPr>
          <w:spacing w:val="-4"/>
        </w:rPr>
        <w:t xml:space="preserve"> </w:t>
      </w:r>
      <w:r w:rsidR="00016B4C" w:rsidRPr="00E845BC">
        <w:t>of</w:t>
      </w:r>
      <w:r w:rsidR="00016B4C" w:rsidRPr="00E845BC">
        <w:rPr>
          <w:spacing w:val="-1"/>
        </w:rPr>
        <w:t xml:space="preserve"> </w:t>
      </w:r>
      <w:r w:rsidR="00016B4C" w:rsidRPr="00E845BC">
        <w:t>the</w:t>
      </w:r>
      <w:r w:rsidR="00016B4C" w:rsidRPr="00E845BC">
        <w:rPr>
          <w:spacing w:val="-2"/>
        </w:rPr>
        <w:t xml:space="preserve"> </w:t>
      </w:r>
      <w:r w:rsidR="00016B4C" w:rsidRPr="00E845BC">
        <w:t>fiscal</w:t>
      </w:r>
      <w:r w:rsidR="00016B4C" w:rsidRPr="00E845BC">
        <w:rPr>
          <w:spacing w:val="-4"/>
        </w:rPr>
        <w:t xml:space="preserve"> </w:t>
      </w:r>
      <w:r w:rsidR="00016B4C" w:rsidRPr="00E845BC">
        <w:t>year,</w:t>
      </w:r>
      <w:r w:rsidR="00016B4C" w:rsidRPr="00E845BC">
        <w:rPr>
          <w:spacing w:val="-4"/>
        </w:rPr>
        <w:t xml:space="preserve"> </w:t>
      </w:r>
      <w:r w:rsidR="00016B4C" w:rsidRPr="00E845BC">
        <w:t>no</w:t>
      </w:r>
      <w:r w:rsidR="00016B4C" w:rsidRPr="00E845BC">
        <w:rPr>
          <w:spacing w:val="-1"/>
        </w:rPr>
        <w:t xml:space="preserve"> </w:t>
      </w:r>
      <w:r w:rsidR="00016B4C" w:rsidRPr="00E845BC">
        <w:t>pension</w:t>
      </w:r>
      <w:r w:rsidR="00016B4C" w:rsidRPr="00E845BC">
        <w:rPr>
          <w:spacing w:val="-4"/>
        </w:rPr>
        <w:t xml:space="preserve"> </w:t>
      </w:r>
      <w:r w:rsidR="00016B4C" w:rsidRPr="00E845BC">
        <w:t>obligations</w:t>
      </w:r>
      <w:r w:rsidR="00016B4C" w:rsidRPr="00E845BC">
        <w:rPr>
          <w:spacing w:val="-1"/>
        </w:rPr>
        <w:t xml:space="preserve"> </w:t>
      </w:r>
      <w:r w:rsidR="00016B4C" w:rsidRPr="00E845BC">
        <w:t>to</w:t>
      </w:r>
      <w:r w:rsidR="00016B4C" w:rsidRPr="00E845BC">
        <w:rPr>
          <w:spacing w:val="-2"/>
        </w:rPr>
        <w:t xml:space="preserve"> </w:t>
      </w:r>
      <w:r w:rsidR="00016B4C" w:rsidRPr="00E845BC">
        <w:t>Board</w:t>
      </w:r>
      <w:r w:rsidR="00016B4C" w:rsidRPr="00E845BC">
        <w:rPr>
          <w:spacing w:val="-1"/>
        </w:rPr>
        <w:t xml:space="preserve"> </w:t>
      </w:r>
      <w:r w:rsidR="00016B4C" w:rsidRPr="00E845BC">
        <w:t>Members</w:t>
      </w:r>
      <w:r w:rsidR="00016B4C" w:rsidRPr="00E845BC">
        <w:rPr>
          <w:spacing w:val="-3"/>
        </w:rPr>
        <w:t xml:space="preserve"> </w:t>
      </w:r>
      <w:r w:rsidR="00016B4C" w:rsidRPr="00E845BC">
        <w:t>or</w:t>
      </w:r>
      <w:r w:rsidR="00016B4C" w:rsidRPr="00E845BC">
        <w:rPr>
          <w:spacing w:val="-2"/>
        </w:rPr>
        <w:t xml:space="preserve"> </w:t>
      </w:r>
      <w:r w:rsidR="00016B4C" w:rsidRPr="00E845BC">
        <w:t>the</w:t>
      </w:r>
      <w:r w:rsidR="00016B4C" w:rsidRPr="00E845BC">
        <w:rPr>
          <w:spacing w:val="-1"/>
        </w:rPr>
        <w:t xml:space="preserve"> </w:t>
      </w:r>
      <w:r w:rsidR="00016B4C" w:rsidRPr="00E845BC">
        <w:rPr>
          <w:spacing w:val="-4"/>
        </w:rPr>
        <w:t>CEO</w:t>
      </w:r>
      <w:r w:rsidR="00CE1153">
        <w:rPr>
          <w:spacing w:val="-4"/>
        </w:rPr>
        <w:t>. Deputy CEO or the Board</w:t>
      </w:r>
      <w:r w:rsidR="00016B4C" w:rsidRPr="00E845BC">
        <w:rPr>
          <w:spacing w:val="-4"/>
        </w:rPr>
        <w:t>.</w:t>
      </w:r>
      <w:r w:rsidR="008C6879" w:rsidRPr="00E845BC">
        <w:rPr>
          <w:spacing w:val="-4"/>
        </w:rPr>
        <w:t xml:space="preserve"> Group CEO</w:t>
      </w:r>
      <w:r w:rsidR="00CE1153">
        <w:rPr>
          <w:spacing w:val="-4"/>
        </w:rPr>
        <w:t xml:space="preserve"> and deputy CEO</w:t>
      </w:r>
      <w:r w:rsidR="008C6879" w:rsidRPr="00E845BC">
        <w:rPr>
          <w:spacing w:val="-4"/>
        </w:rPr>
        <w:t xml:space="preserve"> was remunerated from </w:t>
      </w:r>
      <w:r w:rsidR="00ED5150" w:rsidRPr="00E845BC">
        <w:rPr>
          <w:spacing w:val="-4"/>
        </w:rPr>
        <w:t>the parent company until April 2024 and thereafter from another group company.</w:t>
      </w:r>
      <w:r w:rsidR="009C787C">
        <w:rPr>
          <w:spacing w:val="-4"/>
        </w:rPr>
        <w:t xml:space="preserve"> The amounts for CEO and deputy CEO includes remunerations from the parent company.</w:t>
      </w:r>
    </w:p>
    <w:p w14:paraId="3C64FA8C" w14:textId="77777777" w:rsidR="00987DAC" w:rsidRPr="00E845BC" w:rsidRDefault="00987DAC">
      <w:pPr>
        <w:pStyle w:val="Brdtext"/>
        <w:spacing w:before="42"/>
      </w:pPr>
    </w:p>
    <w:p w14:paraId="3C64FA8D" w14:textId="2E4D517C" w:rsidR="00987DAC" w:rsidRPr="000B0C6B" w:rsidRDefault="00086097" w:rsidP="000B0C6B">
      <w:pPr>
        <w:pStyle w:val="Brdtext"/>
        <w:ind w:left="118"/>
        <w:rPr>
          <w:spacing w:val="-4"/>
        </w:rPr>
      </w:pPr>
      <w:r w:rsidRPr="00E845BC">
        <w:t xml:space="preserve">The result for the period includes a cost related to a long-term variable remuneration program. The cost amounts </w:t>
      </w:r>
      <w:r w:rsidRPr="000B0C6B">
        <w:rPr>
          <w:spacing w:val="-4"/>
        </w:rPr>
        <w:t>to SEK 6.2 million (4.8), which is included in the tables above.</w:t>
      </w:r>
    </w:p>
    <w:p w14:paraId="3C64FA8E" w14:textId="77777777" w:rsidR="00987DAC" w:rsidRPr="000B0C6B" w:rsidRDefault="00987DAC" w:rsidP="000B0C6B">
      <w:pPr>
        <w:pStyle w:val="Brdtext"/>
        <w:ind w:left="118"/>
        <w:rPr>
          <w:spacing w:val="-4"/>
        </w:rPr>
      </w:pPr>
    </w:p>
    <w:p w14:paraId="3C64FA8F" w14:textId="77777777" w:rsidR="00987DAC" w:rsidRPr="00E845BC" w:rsidRDefault="00016B4C">
      <w:pPr>
        <w:pStyle w:val="Rubrik7"/>
      </w:pPr>
      <w:r w:rsidRPr="00E845BC">
        <w:t>Severance</w:t>
      </w:r>
      <w:r w:rsidRPr="00E845BC">
        <w:rPr>
          <w:spacing w:val="-7"/>
        </w:rPr>
        <w:t xml:space="preserve"> </w:t>
      </w:r>
      <w:r w:rsidRPr="00E845BC">
        <w:t>pay</w:t>
      </w:r>
      <w:r w:rsidRPr="00E845BC">
        <w:rPr>
          <w:spacing w:val="-7"/>
        </w:rPr>
        <w:t xml:space="preserve"> </w:t>
      </w:r>
      <w:r w:rsidRPr="00E845BC">
        <w:rPr>
          <w:spacing w:val="-2"/>
        </w:rPr>
        <w:t>agreement</w:t>
      </w:r>
    </w:p>
    <w:p w14:paraId="3C64FA90" w14:textId="19431DCE" w:rsidR="00987DAC" w:rsidRPr="000B0C6B" w:rsidRDefault="00016B4C" w:rsidP="000B0C6B">
      <w:pPr>
        <w:pStyle w:val="Brdtext"/>
        <w:ind w:left="118"/>
        <w:rPr>
          <w:spacing w:val="-4"/>
        </w:rPr>
      </w:pPr>
      <w:r w:rsidRPr="00E845BC">
        <w:t>The</w:t>
      </w:r>
      <w:r w:rsidRPr="00E845BC">
        <w:rPr>
          <w:spacing w:val="-2"/>
        </w:rPr>
        <w:t xml:space="preserve"> </w:t>
      </w:r>
      <w:r w:rsidR="00BE5038">
        <w:t>CEO</w:t>
      </w:r>
      <w:r w:rsidRPr="00E845BC">
        <w:rPr>
          <w:spacing w:val="-4"/>
        </w:rPr>
        <w:t xml:space="preserve"> </w:t>
      </w:r>
      <w:r w:rsidRPr="00E845BC">
        <w:t>has</w:t>
      </w:r>
      <w:r w:rsidRPr="00E845BC">
        <w:rPr>
          <w:spacing w:val="-1"/>
        </w:rPr>
        <w:t xml:space="preserve"> </w:t>
      </w:r>
      <w:r w:rsidRPr="00E845BC">
        <w:t>a</w:t>
      </w:r>
      <w:r w:rsidRPr="00E845BC">
        <w:rPr>
          <w:spacing w:val="-2"/>
        </w:rPr>
        <w:t xml:space="preserve"> </w:t>
      </w:r>
      <w:r w:rsidR="00086097" w:rsidRPr="00E845BC">
        <w:t xml:space="preserve">six </w:t>
      </w:r>
      <w:r w:rsidRPr="00E845BC">
        <w:t>month</w:t>
      </w:r>
      <w:r w:rsidRPr="00E845BC">
        <w:rPr>
          <w:spacing w:val="-2"/>
        </w:rPr>
        <w:t xml:space="preserve"> </w:t>
      </w:r>
      <w:r w:rsidRPr="00E845BC">
        <w:t>notice</w:t>
      </w:r>
      <w:r w:rsidRPr="00E845BC">
        <w:rPr>
          <w:spacing w:val="-2"/>
        </w:rPr>
        <w:t xml:space="preserve"> </w:t>
      </w:r>
      <w:r w:rsidRPr="00E845BC">
        <w:t>of</w:t>
      </w:r>
      <w:r w:rsidRPr="00E845BC">
        <w:rPr>
          <w:spacing w:val="-2"/>
        </w:rPr>
        <w:t xml:space="preserve"> </w:t>
      </w:r>
      <w:r w:rsidRPr="00E845BC">
        <w:t>termination.</w:t>
      </w:r>
      <w:r w:rsidRPr="00E845BC">
        <w:rPr>
          <w:spacing w:val="-2"/>
        </w:rPr>
        <w:t xml:space="preserve"> </w:t>
      </w:r>
      <w:r w:rsidRPr="00E845BC">
        <w:t>In</w:t>
      </w:r>
      <w:r w:rsidRPr="00E845BC">
        <w:rPr>
          <w:spacing w:val="-2"/>
        </w:rPr>
        <w:t xml:space="preserve"> </w:t>
      </w:r>
      <w:r w:rsidRPr="00E845BC">
        <w:t>the</w:t>
      </w:r>
      <w:r w:rsidRPr="00E845BC">
        <w:rPr>
          <w:spacing w:val="-2"/>
        </w:rPr>
        <w:t xml:space="preserve"> </w:t>
      </w:r>
      <w:r w:rsidRPr="00E845BC">
        <w:t>event</w:t>
      </w:r>
      <w:r w:rsidRPr="00E845BC">
        <w:rPr>
          <w:spacing w:val="-2"/>
        </w:rPr>
        <w:t xml:space="preserve"> </w:t>
      </w:r>
      <w:r w:rsidRPr="00E845BC">
        <w:t>of</w:t>
      </w:r>
      <w:r w:rsidRPr="00E845BC">
        <w:rPr>
          <w:spacing w:val="-4"/>
        </w:rPr>
        <w:t xml:space="preserve"> </w:t>
      </w:r>
      <w:r w:rsidRPr="00E845BC">
        <w:t>termination</w:t>
      </w:r>
      <w:r w:rsidRPr="00E845BC">
        <w:rPr>
          <w:spacing w:val="-2"/>
        </w:rPr>
        <w:t xml:space="preserve"> </w:t>
      </w:r>
      <w:r w:rsidRPr="00E845BC">
        <w:t>by</w:t>
      </w:r>
      <w:r w:rsidRPr="00E845BC">
        <w:rPr>
          <w:spacing w:val="-1"/>
        </w:rPr>
        <w:t xml:space="preserve"> </w:t>
      </w:r>
      <w:r w:rsidRPr="00E845BC">
        <w:t>the</w:t>
      </w:r>
      <w:r w:rsidRPr="00E845BC">
        <w:rPr>
          <w:spacing w:val="-4"/>
        </w:rPr>
        <w:t xml:space="preserve"> </w:t>
      </w:r>
      <w:r w:rsidRPr="00E845BC">
        <w:t xml:space="preserve">company, </w:t>
      </w:r>
      <w:r w:rsidRPr="000B0C6B">
        <w:rPr>
          <w:spacing w:val="-4"/>
        </w:rPr>
        <w:t>six months notice applies.</w:t>
      </w:r>
    </w:p>
    <w:p w14:paraId="3C64FA93" w14:textId="77777777" w:rsidR="00987DAC" w:rsidRPr="000B0C6B" w:rsidRDefault="00987DAC" w:rsidP="000B0C6B">
      <w:pPr>
        <w:pStyle w:val="Brdtext"/>
        <w:ind w:left="118"/>
        <w:rPr>
          <w:spacing w:val="-4"/>
        </w:rPr>
      </w:pPr>
    </w:p>
    <w:p w14:paraId="3C64FA95" w14:textId="080A541C" w:rsidR="00987DAC" w:rsidRPr="006170BF" w:rsidRDefault="000E5798">
      <w:pPr>
        <w:pStyle w:val="Rubrik8"/>
        <w:rPr>
          <w:b w:val="0"/>
          <w:bCs w:val="0"/>
          <w:i/>
          <w:iCs/>
        </w:rPr>
      </w:pPr>
      <w:r w:rsidRPr="006170BF">
        <w:rPr>
          <w:b w:val="0"/>
          <w:bCs w:val="0"/>
          <w:i/>
          <w:iCs/>
        </w:rPr>
        <w:t>Pension commitmen</w:t>
      </w:r>
      <w:r w:rsidR="008A6BC4" w:rsidRPr="006170BF">
        <w:rPr>
          <w:b w:val="0"/>
          <w:bCs w:val="0"/>
          <w:i/>
          <w:iCs/>
        </w:rPr>
        <w:t>t</w:t>
      </w:r>
      <w:r w:rsidRPr="006170BF">
        <w:rPr>
          <w:b w:val="0"/>
          <w:bCs w:val="0"/>
          <w:i/>
          <w:iCs/>
        </w:rPr>
        <w:t>s</w:t>
      </w:r>
    </w:p>
    <w:p w14:paraId="3C64FAA0" w14:textId="5AB07FB8" w:rsidR="00987DAC" w:rsidRPr="000B0C6B" w:rsidRDefault="008A6BC4" w:rsidP="008A6BC4">
      <w:pPr>
        <w:pStyle w:val="Brdtext"/>
        <w:ind w:left="118"/>
        <w:rPr>
          <w:spacing w:val="-4"/>
        </w:rPr>
      </w:pPr>
      <w:r w:rsidRPr="008A6BC4">
        <w:t xml:space="preserve">The Group's pension commitments include defined contribution pension plans, which are regulated in collective agreements. Occupational pension ITP is for privately employed white-collar workers according to an agreement between PTK and the Confederation of Swedish Enterprise. Occupational pension, Contract pension SAF-LO is a </w:t>
      </w:r>
      <w:r w:rsidRPr="000B0C6B">
        <w:rPr>
          <w:spacing w:val="-4"/>
        </w:rPr>
        <w:t>pension for workers in private companies.</w:t>
      </w:r>
    </w:p>
    <w:p w14:paraId="0A3BD30F" w14:textId="5B4AC45D" w:rsidR="00686E06" w:rsidRPr="000B0C6B" w:rsidRDefault="00686E06" w:rsidP="000B0C6B">
      <w:pPr>
        <w:pStyle w:val="Brdtext"/>
        <w:ind w:left="118"/>
        <w:rPr>
          <w:spacing w:val="-4"/>
        </w:rPr>
      </w:pPr>
    </w:p>
    <w:p w14:paraId="600B2216" w14:textId="073D6DDD" w:rsidR="00F43E59" w:rsidRPr="006170BF" w:rsidRDefault="00F43E59" w:rsidP="00F43E59">
      <w:pPr>
        <w:pStyle w:val="Rubrik8"/>
        <w:rPr>
          <w:b w:val="0"/>
          <w:bCs w:val="0"/>
          <w:i/>
          <w:iCs/>
        </w:rPr>
      </w:pPr>
      <w:r w:rsidRPr="006170BF">
        <w:rPr>
          <w:b w:val="0"/>
          <w:bCs w:val="0"/>
          <w:i/>
          <w:iCs/>
        </w:rPr>
        <w:t>Employee stock options</w:t>
      </w:r>
    </w:p>
    <w:p w14:paraId="20510A76" w14:textId="0C4F0EE6" w:rsidR="00F43E59" w:rsidRPr="003368C4" w:rsidRDefault="003704EC" w:rsidP="003704EC">
      <w:pPr>
        <w:pStyle w:val="Brdtext"/>
        <w:ind w:left="118"/>
        <w:rPr>
          <w:spacing w:val="-4"/>
        </w:rPr>
      </w:pPr>
      <w:r w:rsidRPr="003704EC">
        <w:t xml:space="preserve">The Group has issued a total of 2,025 options in 5 different so-called tranches, all of which require employment for 3 years before redemption can be called for. 1,595 of these have a term until December 2025, and the remaining 430 have a term until December 2026. 285 of the options have an exercise price of SEK 3,500 and all remaining options have an exercise price of SEK 100. After a review of issued options, the Group has assessed that 1,885 of the options (c. 93% of issued) are likely to result in redemption. To assess the fair value of an option, a so-called Black Scholes analysis has been prepared where the central parameters are the market value per share, volatility and risk-free interest rate. The Group has used volatility of 30% and risk-free interest rate of 3% in the model and for the market value per share the most recent valuation made by the Group (in 2022) which resulted in a value of SEK 10,500 per share. The Black Scholes valuation with these parameters </w:t>
      </w:r>
      <w:r w:rsidR="00527824">
        <w:t>results in a value</w:t>
      </w:r>
      <w:r w:rsidR="00D35D6E">
        <w:t xml:space="preserve"> </w:t>
      </w:r>
      <w:r w:rsidRPr="003704EC">
        <w:t>very close to the residual value (SEK 10,500 minus the exercise price) as the share price far exceeds the exercise price. Accordingly, the Group has used the residual value when valuing the options. The total value of the options that the Group estimates will be exercised amounted to a total of SEK 18.6 million at the time of the Closing of the Accounts, of which SEK 6.2 million was charged to the result for 2024. A sensitivity analysis of +/10% on important Black Scholes parameters volatility or risk-</w:t>
      </w:r>
      <w:r w:rsidRPr="003368C4">
        <w:rPr>
          <w:spacing w:val="-4"/>
        </w:rPr>
        <w:t>free interest rate gives an insignificant change in the option value.</w:t>
      </w:r>
    </w:p>
    <w:p w14:paraId="3C64FAA9" w14:textId="77777777" w:rsidR="00987DAC" w:rsidRPr="003368C4" w:rsidRDefault="00987DAC" w:rsidP="003368C4">
      <w:pPr>
        <w:pStyle w:val="Brdtext"/>
        <w:ind w:left="118"/>
        <w:rPr>
          <w:spacing w:val="-4"/>
        </w:rPr>
      </w:pPr>
    </w:p>
    <w:p w14:paraId="3C64FABE" w14:textId="6E79855D" w:rsidR="00987DAC" w:rsidRPr="00A02154" w:rsidRDefault="00016B4C" w:rsidP="00A02154">
      <w:pPr>
        <w:pStyle w:val="Rubrik5"/>
        <w:rPr>
          <w:sz w:val="18"/>
          <w:szCs w:val="18"/>
        </w:rPr>
      </w:pPr>
      <w:r w:rsidRPr="00842B0D">
        <w:t>Note</w:t>
      </w:r>
      <w:r w:rsidRPr="00842B0D">
        <w:rPr>
          <w:spacing w:val="-4"/>
        </w:rPr>
        <w:t xml:space="preserve"> </w:t>
      </w:r>
      <w:r w:rsidRPr="00842B0D">
        <w:t>1</w:t>
      </w:r>
      <w:r w:rsidR="003704EC" w:rsidRPr="00842B0D">
        <w:t>1</w:t>
      </w:r>
      <w:r w:rsidRPr="00842B0D">
        <w:rPr>
          <w:spacing w:val="-4"/>
        </w:rPr>
        <w:t xml:space="preserve"> </w:t>
      </w:r>
      <w:r w:rsidRPr="00842B0D">
        <w:t>Financial</w:t>
      </w:r>
      <w:r w:rsidRPr="00842B0D">
        <w:rPr>
          <w:spacing w:val="-6"/>
        </w:rPr>
        <w:t xml:space="preserve"> </w:t>
      </w:r>
      <w:r w:rsidRPr="00842B0D">
        <w:rPr>
          <w:spacing w:val="-2"/>
        </w:rPr>
        <w:t>income</w:t>
      </w:r>
      <w:r w:rsidR="007D76AF">
        <w:rPr>
          <w:spacing w:val="-2"/>
        </w:rPr>
        <w:br/>
      </w:r>
      <w:r w:rsidR="007D76AF" w:rsidRPr="00A02154">
        <w:rPr>
          <w:noProof/>
          <w:sz w:val="18"/>
          <w:szCs w:val="18"/>
        </w:rPr>
        <w:drawing>
          <wp:inline distT="0" distB="0" distL="0" distR="0" wp14:anchorId="25A96998" wp14:editId="6B4DC384">
            <wp:extent cx="5162550" cy="1109536"/>
            <wp:effectExtent l="0" t="0" r="0" b="0"/>
            <wp:docPr id="109310362"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3105" cy="1111804"/>
                    </a:xfrm>
                    <a:prstGeom prst="rect">
                      <a:avLst/>
                    </a:prstGeom>
                    <a:noFill/>
                    <a:ln>
                      <a:noFill/>
                    </a:ln>
                  </pic:spPr>
                </pic:pic>
              </a:graphicData>
            </a:graphic>
          </wp:inline>
        </w:drawing>
      </w:r>
      <w:r w:rsidR="00A02154">
        <w:rPr>
          <w:spacing w:val="-2"/>
        </w:rPr>
        <w:br/>
      </w:r>
    </w:p>
    <w:p w14:paraId="3C64FAC1" w14:textId="1E7E0077" w:rsidR="00987DAC" w:rsidRPr="00842B0D" w:rsidRDefault="00A02154" w:rsidP="00A02154">
      <w:pPr>
        <w:pStyle w:val="Brdtext"/>
        <w:spacing w:before="25" w:line="264" w:lineRule="auto"/>
        <w:ind w:right="442"/>
      </w:pPr>
      <w:r>
        <w:t xml:space="preserve">   </w:t>
      </w:r>
      <w:r w:rsidR="003970CB" w:rsidRPr="00842B0D">
        <w:t xml:space="preserve">Interest income </w:t>
      </w:r>
      <w:r w:rsidR="00966417" w:rsidRPr="00842B0D">
        <w:t>refers to returns from investments of li</w:t>
      </w:r>
      <w:r w:rsidR="00842B0D" w:rsidRPr="00842B0D">
        <w:t>quid funds</w:t>
      </w:r>
    </w:p>
    <w:p w14:paraId="3C64FAC2" w14:textId="77777777" w:rsidR="00987DAC" w:rsidRPr="00842B0D" w:rsidRDefault="00987DAC">
      <w:pPr>
        <w:pStyle w:val="Brdtext"/>
        <w:spacing w:before="102"/>
      </w:pPr>
    </w:p>
    <w:p w14:paraId="3C64FAC3" w14:textId="1163A1C1" w:rsidR="00987DAC" w:rsidRDefault="00016B4C">
      <w:pPr>
        <w:pStyle w:val="Rubrik5"/>
      </w:pPr>
      <w:r w:rsidRPr="00CB6A1F">
        <w:t>Note</w:t>
      </w:r>
      <w:r w:rsidRPr="00CB6A1F">
        <w:rPr>
          <w:spacing w:val="-4"/>
        </w:rPr>
        <w:t xml:space="preserve"> </w:t>
      </w:r>
      <w:r w:rsidRPr="00CB6A1F">
        <w:t>12</w:t>
      </w:r>
      <w:r w:rsidRPr="00CB6A1F">
        <w:rPr>
          <w:spacing w:val="-3"/>
        </w:rPr>
        <w:t xml:space="preserve"> </w:t>
      </w:r>
      <w:r w:rsidR="00842B0D" w:rsidRPr="00CB6A1F">
        <w:t>Financial expenses</w:t>
      </w:r>
    </w:p>
    <w:p w14:paraId="0ED70708" w14:textId="77777777" w:rsidR="001745C8" w:rsidRPr="001745C8" w:rsidRDefault="001745C8">
      <w:pPr>
        <w:pStyle w:val="Rubrik5"/>
        <w:rPr>
          <w:sz w:val="18"/>
          <w:szCs w:val="18"/>
        </w:rPr>
      </w:pPr>
    </w:p>
    <w:p w14:paraId="1EA4D5C7" w14:textId="0352818A" w:rsidR="001745C8" w:rsidRPr="00CB6A1F" w:rsidRDefault="002535F7">
      <w:pPr>
        <w:pStyle w:val="Rubrik5"/>
      </w:pPr>
      <w:r w:rsidRPr="002535F7">
        <w:rPr>
          <w:noProof/>
        </w:rPr>
        <w:drawing>
          <wp:inline distT="0" distB="0" distL="0" distR="0" wp14:anchorId="1318AFF5" wp14:editId="09239631">
            <wp:extent cx="4879238" cy="1571133"/>
            <wp:effectExtent l="0" t="0" r="0" b="0"/>
            <wp:docPr id="172527766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94986" cy="1576204"/>
                    </a:xfrm>
                    <a:prstGeom prst="rect">
                      <a:avLst/>
                    </a:prstGeom>
                    <a:noFill/>
                    <a:ln>
                      <a:noFill/>
                    </a:ln>
                  </pic:spPr>
                </pic:pic>
              </a:graphicData>
            </a:graphic>
          </wp:inline>
        </w:drawing>
      </w:r>
    </w:p>
    <w:p w14:paraId="79F2AA42" w14:textId="77777777" w:rsidR="00BE6F7B" w:rsidRPr="001745C8" w:rsidRDefault="00BE6F7B" w:rsidP="00BE6F7B">
      <w:pPr>
        <w:pStyle w:val="Brdtext"/>
        <w:spacing w:before="154"/>
      </w:pPr>
    </w:p>
    <w:p w14:paraId="22322CF0" w14:textId="31694B4E" w:rsidR="00BE6F7B" w:rsidRPr="001745C8" w:rsidRDefault="00CB6A1F">
      <w:pPr>
        <w:pStyle w:val="Rubrik5"/>
      </w:pPr>
      <w:r w:rsidRPr="001745C8">
        <w:rPr>
          <w:b w:val="0"/>
          <w:bCs w:val="0"/>
          <w:sz w:val="18"/>
          <w:szCs w:val="18"/>
        </w:rPr>
        <w:t xml:space="preserve">All interest expenses attributable to loan liabilities are reported at </w:t>
      </w:r>
      <w:r w:rsidR="007C6974">
        <w:rPr>
          <w:b w:val="0"/>
          <w:bCs w:val="0"/>
          <w:sz w:val="18"/>
          <w:szCs w:val="18"/>
        </w:rPr>
        <w:t>acquisition value</w:t>
      </w:r>
      <w:r w:rsidR="001161CD">
        <w:rPr>
          <w:b w:val="0"/>
          <w:bCs w:val="0"/>
          <w:sz w:val="18"/>
          <w:szCs w:val="18"/>
        </w:rPr>
        <w:t>.</w:t>
      </w:r>
    </w:p>
    <w:p w14:paraId="3C64FAE9" w14:textId="77777777" w:rsidR="00987DAC" w:rsidRPr="00DF43C1" w:rsidRDefault="00987DAC">
      <w:pPr>
        <w:pStyle w:val="Brdtext"/>
        <w:rPr>
          <w:b/>
          <w:sz w:val="20"/>
        </w:rPr>
      </w:pPr>
    </w:p>
    <w:p w14:paraId="5C3409D9" w14:textId="52B00730" w:rsidR="001014D6" w:rsidRPr="00DF43C1" w:rsidRDefault="001014D6" w:rsidP="001014D6">
      <w:pPr>
        <w:pStyle w:val="Rubrik5"/>
      </w:pPr>
      <w:r w:rsidRPr="00DF43C1">
        <w:t>Note</w:t>
      </w:r>
      <w:r w:rsidRPr="00DF43C1">
        <w:rPr>
          <w:spacing w:val="-4"/>
        </w:rPr>
        <w:t xml:space="preserve"> </w:t>
      </w:r>
      <w:r w:rsidRPr="00DF43C1">
        <w:t>13</w:t>
      </w:r>
      <w:r w:rsidRPr="00DF43C1">
        <w:rPr>
          <w:spacing w:val="-3"/>
        </w:rPr>
        <w:t xml:space="preserve"> </w:t>
      </w:r>
      <w:r w:rsidR="005B7A0B">
        <w:rPr>
          <w:spacing w:val="-3"/>
        </w:rPr>
        <w:t>Income taxes</w:t>
      </w:r>
    </w:p>
    <w:p w14:paraId="25C6C44C" w14:textId="77777777" w:rsidR="005B7A0B" w:rsidRPr="004256DE" w:rsidRDefault="005B7A0B" w:rsidP="004256DE">
      <w:pPr>
        <w:pStyle w:val="Rubrik5"/>
        <w:rPr>
          <w:sz w:val="18"/>
          <w:szCs w:val="18"/>
        </w:rPr>
      </w:pPr>
    </w:p>
    <w:p w14:paraId="3C64FB36" w14:textId="01F24EB8" w:rsidR="00987DAC" w:rsidRPr="004256DE" w:rsidRDefault="00656D71" w:rsidP="004256DE">
      <w:pPr>
        <w:pStyle w:val="Rubrik5"/>
      </w:pPr>
      <w:r w:rsidRPr="00656D71">
        <w:rPr>
          <w:noProof/>
        </w:rPr>
        <w:drawing>
          <wp:inline distT="0" distB="0" distL="0" distR="0" wp14:anchorId="5D984BC1" wp14:editId="43F225C6">
            <wp:extent cx="6115050" cy="2951480"/>
            <wp:effectExtent l="0" t="0" r="0" b="1270"/>
            <wp:docPr id="1140766062"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2951480"/>
                    </a:xfrm>
                    <a:prstGeom prst="rect">
                      <a:avLst/>
                    </a:prstGeom>
                    <a:noFill/>
                    <a:ln>
                      <a:noFill/>
                    </a:ln>
                  </pic:spPr>
                </pic:pic>
              </a:graphicData>
            </a:graphic>
          </wp:inline>
        </w:drawing>
      </w:r>
    </w:p>
    <w:p w14:paraId="6C20283F" w14:textId="77777777" w:rsidR="00DF43C1" w:rsidRPr="00DF43C1" w:rsidRDefault="00DF43C1">
      <w:pPr>
        <w:pStyle w:val="Brdtext"/>
        <w:spacing w:before="29"/>
        <w:rPr>
          <w:b/>
        </w:rPr>
      </w:pPr>
    </w:p>
    <w:p w14:paraId="3C64FB38" w14:textId="58B84247" w:rsidR="00987DAC" w:rsidRPr="00DF43C1" w:rsidRDefault="00016B4C" w:rsidP="00DF43C1">
      <w:pPr>
        <w:pStyle w:val="Brdtext"/>
        <w:ind w:left="118"/>
        <w:rPr>
          <w:sz w:val="20"/>
        </w:rPr>
      </w:pPr>
      <w:r w:rsidRPr="00DF43C1">
        <w:t>No</w:t>
      </w:r>
      <w:r w:rsidRPr="00DF43C1">
        <w:rPr>
          <w:spacing w:val="-3"/>
        </w:rPr>
        <w:t xml:space="preserve"> </w:t>
      </w:r>
      <w:r w:rsidRPr="00DF43C1">
        <w:t>significant</w:t>
      </w:r>
      <w:r w:rsidRPr="00DF43C1">
        <w:rPr>
          <w:spacing w:val="-3"/>
        </w:rPr>
        <w:t xml:space="preserve"> </w:t>
      </w:r>
      <w:r w:rsidRPr="00DF43C1">
        <w:t>tax</w:t>
      </w:r>
      <w:r w:rsidRPr="00DF43C1">
        <w:rPr>
          <w:spacing w:val="-2"/>
        </w:rPr>
        <w:t xml:space="preserve"> </w:t>
      </w:r>
      <w:r w:rsidRPr="00DF43C1">
        <w:t>items</w:t>
      </w:r>
      <w:r w:rsidRPr="00DF43C1">
        <w:rPr>
          <w:spacing w:val="-2"/>
        </w:rPr>
        <w:t xml:space="preserve"> </w:t>
      </w:r>
      <w:r w:rsidRPr="00DF43C1">
        <w:t>have</w:t>
      </w:r>
      <w:r w:rsidRPr="00DF43C1">
        <w:rPr>
          <w:spacing w:val="-5"/>
        </w:rPr>
        <w:t xml:space="preserve"> </w:t>
      </w:r>
      <w:r w:rsidRPr="00DF43C1">
        <w:t>been</w:t>
      </w:r>
      <w:r w:rsidRPr="00DF43C1">
        <w:rPr>
          <w:spacing w:val="-3"/>
        </w:rPr>
        <w:t xml:space="preserve"> </w:t>
      </w:r>
      <w:r w:rsidR="00457D97" w:rsidRPr="00DF43C1">
        <w:t>recognize</w:t>
      </w:r>
      <w:r w:rsidRPr="00DF43C1">
        <w:t>d</w:t>
      </w:r>
      <w:r w:rsidRPr="00DF43C1">
        <w:rPr>
          <w:spacing w:val="-1"/>
        </w:rPr>
        <w:t xml:space="preserve"> </w:t>
      </w:r>
      <w:r w:rsidRPr="00DF43C1">
        <w:t>against</w:t>
      </w:r>
      <w:r w:rsidRPr="00DF43C1">
        <w:rPr>
          <w:spacing w:val="-5"/>
        </w:rPr>
        <w:t xml:space="preserve"> </w:t>
      </w:r>
      <w:r w:rsidRPr="00DF43C1">
        <w:t>equity</w:t>
      </w:r>
      <w:r w:rsidRPr="00DF43C1">
        <w:rPr>
          <w:spacing w:val="-5"/>
        </w:rPr>
        <w:t xml:space="preserve"> </w:t>
      </w:r>
      <w:r w:rsidRPr="00DF43C1">
        <w:t>or</w:t>
      </w:r>
      <w:r w:rsidRPr="00DF43C1">
        <w:rPr>
          <w:spacing w:val="-3"/>
        </w:rPr>
        <w:t xml:space="preserve"> </w:t>
      </w:r>
      <w:r w:rsidRPr="00DF43C1">
        <w:t>other</w:t>
      </w:r>
      <w:r w:rsidRPr="00DF43C1">
        <w:rPr>
          <w:spacing w:val="-3"/>
        </w:rPr>
        <w:t xml:space="preserve"> </w:t>
      </w:r>
      <w:r w:rsidRPr="00DF43C1">
        <w:t>comprehensive</w:t>
      </w:r>
      <w:r w:rsidRPr="00DF43C1">
        <w:rPr>
          <w:spacing w:val="-5"/>
        </w:rPr>
        <w:t xml:space="preserve"> </w:t>
      </w:r>
      <w:r w:rsidRPr="00DF43C1">
        <w:rPr>
          <w:spacing w:val="-2"/>
        </w:rPr>
        <w:t>income.</w:t>
      </w:r>
    </w:p>
    <w:p w14:paraId="3C64FBC8" w14:textId="77777777" w:rsidR="00987DAC" w:rsidRPr="00DF43C1" w:rsidRDefault="00987DAC">
      <w:pPr>
        <w:spacing w:line="206" w:lineRule="exact"/>
        <w:jc w:val="right"/>
        <w:rPr>
          <w:sz w:val="18"/>
        </w:rPr>
        <w:sectPr w:rsidR="00987DAC" w:rsidRPr="00DF43C1">
          <w:pgSz w:w="11910" w:h="16840"/>
          <w:pgMar w:top="1420" w:right="980" w:bottom="900" w:left="1300" w:header="512" w:footer="719" w:gutter="0"/>
          <w:cols w:space="720"/>
        </w:sectPr>
      </w:pPr>
    </w:p>
    <w:p w14:paraId="3C64FBC9" w14:textId="4BE4A95C" w:rsidR="00987DAC" w:rsidRPr="007F2A9B" w:rsidRDefault="0034113A">
      <w:pPr>
        <w:pStyle w:val="Brdtext"/>
        <w:rPr>
          <w:sz w:val="20"/>
        </w:rPr>
      </w:pPr>
      <w:r>
        <w:rPr>
          <w:noProof/>
        </w:rPr>
        <w:lastRenderedPageBreak/>
        <w:t xml:space="preserve">  </w:t>
      </w:r>
      <w:r w:rsidR="00786180" w:rsidRPr="007F2A9B">
        <w:rPr>
          <w:noProof/>
        </w:rPr>
        <w:drawing>
          <wp:inline distT="0" distB="0" distL="0" distR="0" wp14:anchorId="2734873C" wp14:editId="0667CBFC">
            <wp:extent cx="5391150" cy="3691000"/>
            <wp:effectExtent l="0" t="0" r="0" b="0"/>
            <wp:docPr id="1976249755"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2243" cy="3698595"/>
                    </a:xfrm>
                    <a:prstGeom prst="rect">
                      <a:avLst/>
                    </a:prstGeom>
                    <a:noFill/>
                    <a:ln>
                      <a:noFill/>
                    </a:ln>
                  </pic:spPr>
                </pic:pic>
              </a:graphicData>
            </a:graphic>
          </wp:inline>
        </w:drawing>
      </w:r>
    </w:p>
    <w:p w14:paraId="3C64FBCA" w14:textId="77777777" w:rsidR="00987DAC" w:rsidRPr="00160619" w:rsidRDefault="00987DAC" w:rsidP="00160619">
      <w:pPr>
        <w:pStyle w:val="Brdtext"/>
        <w:spacing w:line="264" w:lineRule="auto"/>
        <w:ind w:left="118" w:right="516"/>
      </w:pPr>
    </w:p>
    <w:p w14:paraId="3C64FC40" w14:textId="013CB6A6" w:rsidR="00987DAC" w:rsidRPr="003D1259" w:rsidRDefault="00672092">
      <w:pPr>
        <w:pStyle w:val="Brdtext"/>
        <w:spacing w:line="264" w:lineRule="auto"/>
        <w:ind w:left="118" w:right="516"/>
      </w:pPr>
      <w:r w:rsidRPr="003D1259">
        <w:t xml:space="preserve">The Group has unused tax loss carryforwards amounting to 13,542 thousand SEK (5,288 thousand SEK). These mainly relate to losses reported in the current and previous years. See </w:t>
      </w:r>
      <w:r w:rsidR="006B47C4">
        <w:t>n</w:t>
      </w:r>
      <w:r w:rsidRPr="003D1259">
        <w:t xml:space="preserve">ote </w:t>
      </w:r>
      <w:r w:rsidR="00B338F8">
        <w:t>4</w:t>
      </w:r>
      <w:r w:rsidRPr="003D1259">
        <w:t xml:space="preserve"> for an assessment of the recognition of deferred tax assets regarding these tax assets. Due to the possibilit</w:t>
      </w:r>
      <w:r w:rsidR="00E614A6">
        <w:t>y</w:t>
      </w:r>
      <w:r w:rsidRPr="003D1259">
        <w:t xml:space="preserve"> to give and receive group contributions within the Group and to utilize these saved negative net interest/interest expenses against offset taxable income for a limited period of 6 years, the JumpYard Group has not recognized any deferred tax assets with respect to these temporary differences. These non-deductible negative net interest</w:t>
      </w:r>
      <w:r w:rsidR="00353B91">
        <w:t>s</w:t>
      </w:r>
      <w:r w:rsidRPr="003D1259">
        <w:t xml:space="preserve"> are primarily attributable to the new tax rules that limit the possibility of claiming a tax deduction for interest expenses. However, with regard to the deferred tax assets reported amounting to 13,542 thousand SEK (5,288), there is no such time limit or restriction on using unused loss carryforwards against taxable surpluses, which is why JumpYard does not assess that there is any such uncertainty regarding these deficits as to why a deferred tax asset has been reported. Based on historical earnings, the Group believes that there are factors that convincingly justify that the asset should be reported.</w:t>
      </w:r>
    </w:p>
    <w:p w14:paraId="3C64FC41" w14:textId="77777777" w:rsidR="00987DAC" w:rsidRPr="003D1259" w:rsidRDefault="00987DAC" w:rsidP="00160619">
      <w:pPr>
        <w:pStyle w:val="Brdtext"/>
        <w:spacing w:line="264" w:lineRule="auto"/>
        <w:ind w:left="118" w:right="516"/>
      </w:pPr>
    </w:p>
    <w:p w14:paraId="3C64FC43" w14:textId="4FAE8E74" w:rsidR="00987DAC" w:rsidRDefault="00E901F8" w:rsidP="00E901F8">
      <w:pPr>
        <w:pStyle w:val="Brdtext"/>
        <w:spacing w:line="264" w:lineRule="auto"/>
        <w:ind w:left="118" w:right="516"/>
      </w:pPr>
      <w:r w:rsidRPr="003D1259">
        <w:t>The tax rate when calculating deferred tax amounts to the local tax rate</w:t>
      </w:r>
      <w:r w:rsidR="0090682D">
        <w:t>.</w:t>
      </w:r>
    </w:p>
    <w:p w14:paraId="53F88EAA" w14:textId="77777777" w:rsidR="0090682D" w:rsidRDefault="0090682D" w:rsidP="00E901F8">
      <w:pPr>
        <w:pStyle w:val="Brdtext"/>
        <w:spacing w:line="264" w:lineRule="auto"/>
        <w:ind w:left="118" w:right="516"/>
      </w:pPr>
    </w:p>
    <w:p w14:paraId="2099F62A" w14:textId="29D8970C" w:rsidR="00E901F8" w:rsidRDefault="008F0F5F" w:rsidP="00160619">
      <w:pPr>
        <w:pStyle w:val="Brdtext"/>
        <w:spacing w:line="264" w:lineRule="auto"/>
        <w:ind w:left="118" w:right="516"/>
      </w:pPr>
      <w:r w:rsidRPr="008F0F5F">
        <w:t>The changes in deferred tax assets and deferred tax assets are expected to occur according to the aging analysis below.</w:t>
      </w:r>
    </w:p>
    <w:p w14:paraId="075DB5A9" w14:textId="77777777" w:rsidR="008F0F5F" w:rsidRDefault="008F0F5F" w:rsidP="00160619">
      <w:pPr>
        <w:pStyle w:val="Brdtext"/>
        <w:spacing w:line="264" w:lineRule="auto"/>
        <w:ind w:left="118" w:right="516"/>
      </w:pPr>
    </w:p>
    <w:p w14:paraId="1F44859E" w14:textId="3510F867" w:rsidR="008F0F5F" w:rsidRDefault="00886C9E">
      <w:pPr>
        <w:pStyle w:val="Brdtext"/>
        <w:spacing w:before="123"/>
      </w:pPr>
      <w:r w:rsidRPr="00886C9E">
        <w:rPr>
          <w:noProof/>
        </w:rPr>
        <w:drawing>
          <wp:inline distT="0" distB="0" distL="0" distR="0" wp14:anchorId="200BFE14" wp14:editId="4E402613">
            <wp:extent cx="3971925" cy="1762641"/>
            <wp:effectExtent l="0" t="0" r="0" b="9525"/>
            <wp:docPr id="2129766340"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79003" cy="1765782"/>
                    </a:xfrm>
                    <a:prstGeom prst="rect">
                      <a:avLst/>
                    </a:prstGeom>
                    <a:noFill/>
                    <a:ln>
                      <a:noFill/>
                    </a:ln>
                  </pic:spPr>
                </pic:pic>
              </a:graphicData>
            </a:graphic>
          </wp:inline>
        </w:drawing>
      </w:r>
    </w:p>
    <w:p w14:paraId="21C8F0F6" w14:textId="680D850B" w:rsidR="00A03EE7" w:rsidRDefault="00A03EE7">
      <w:pPr>
        <w:rPr>
          <w:sz w:val="18"/>
          <w:szCs w:val="18"/>
        </w:rPr>
      </w:pPr>
      <w:r>
        <w:br w:type="page"/>
      </w:r>
    </w:p>
    <w:p w14:paraId="3C64FC44" w14:textId="6800CEE6" w:rsidR="00987DAC" w:rsidRPr="004B002F" w:rsidRDefault="00016B4C">
      <w:pPr>
        <w:pStyle w:val="Rubrik5"/>
      </w:pPr>
      <w:r w:rsidRPr="004B002F">
        <w:lastRenderedPageBreak/>
        <w:t>Note</w:t>
      </w:r>
      <w:r w:rsidRPr="004B002F">
        <w:rPr>
          <w:spacing w:val="-3"/>
        </w:rPr>
        <w:t xml:space="preserve"> </w:t>
      </w:r>
      <w:r w:rsidRPr="004B002F">
        <w:t>1</w:t>
      </w:r>
      <w:r w:rsidR="00587C36" w:rsidRPr="004B002F">
        <w:t>4</w:t>
      </w:r>
      <w:r w:rsidRPr="004B002F">
        <w:rPr>
          <w:spacing w:val="-3"/>
        </w:rPr>
        <w:t xml:space="preserve"> </w:t>
      </w:r>
      <w:r w:rsidRPr="004B002F">
        <w:rPr>
          <w:spacing w:val="-2"/>
        </w:rPr>
        <w:t>Goodwill</w:t>
      </w:r>
    </w:p>
    <w:p w14:paraId="3C64FC63" w14:textId="77777777" w:rsidR="00987DAC" w:rsidRPr="004B002F" w:rsidRDefault="00987DAC">
      <w:pPr>
        <w:pStyle w:val="Brdtext"/>
        <w:rPr>
          <w:b/>
        </w:rPr>
      </w:pPr>
    </w:p>
    <w:p w14:paraId="3C64FC65" w14:textId="0B445D9D" w:rsidR="00987DAC" w:rsidRPr="00393D76" w:rsidRDefault="004B002F" w:rsidP="00393D76">
      <w:pPr>
        <w:pStyle w:val="Brdtext"/>
        <w:rPr>
          <w:b/>
        </w:rPr>
      </w:pPr>
      <w:r>
        <w:rPr>
          <w:b/>
        </w:rPr>
        <w:t xml:space="preserve">  </w:t>
      </w:r>
      <w:r w:rsidRPr="004B002F">
        <w:rPr>
          <w:noProof/>
        </w:rPr>
        <w:drawing>
          <wp:inline distT="0" distB="0" distL="0" distR="0" wp14:anchorId="3B236EEA" wp14:editId="2508E27F">
            <wp:extent cx="5838825" cy="1088338"/>
            <wp:effectExtent l="0" t="0" r="0" b="0"/>
            <wp:docPr id="128624460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2089" cy="1090810"/>
                    </a:xfrm>
                    <a:prstGeom prst="rect">
                      <a:avLst/>
                    </a:prstGeom>
                    <a:noFill/>
                    <a:ln>
                      <a:noFill/>
                    </a:ln>
                  </pic:spPr>
                </pic:pic>
              </a:graphicData>
            </a:graphic>
          </wp:inline>
        </w:drawing>
      </w:r>
    </w:p>
    <w:p w14:paraId="689B231F" w14:textId="77777777" w:rsidR="005F7777" w:rsidRPr="000F3958" w:rsidRDefault="005F7777">
      <w:pPr>
        <w:pStyle w:val="Rubrik8"/>
      </w:pPr>
    </w:p>
    <w:p w14:paraId="3C64FC67" w14:textId="120A2879" w:rsidR="00987DAC" w:rsidRPr="000F3958" w:rsidRDefault="00A6394D" w:rsidP="005F7777">
      <w:pPr>
        <w:pStyle w:val="Brdtext"/>
        <w:spacing w:line="264" w:lineRule="auto"/>
        <w:ind w:left="118" w:right="516"/>
      </w:pPr>
      <w:r w:rsidRPr="000F3958">
        <w:t>Goodwill is allocated in its entirety to the Nordic segment.</w:t>
      </w:r>
    </w:p>
    <w:p w14:paraId="3C64FC8C" w14:textId="77777777" w:rsidR="00987DAC" w:rsidRPr="000F3958" w:rsidRDefault="00987DAC" w:rsidP="008A13CD">
      <w:pPr>
        <w:pStyle w:val="Rubrik8"/>
      </w:pPr>
    </w:p>
    <w:p w14:paraId="3C64FC94" w14:textId="19CC729D" w:rsidR="00987DAC" w:rsidRPr="00003ACE" w:rsidRDefault="00CB6782" w:rsidP="00003ACE">
      <w:pPr>
        <w:pStyle w:val="Brdtext"/>
        <w:spacing w:line="264" w:lineRule="auto"/>
        <w:ind w:left="118" w:right="516"/>
      </w:pPr>
      <w:r w:rsidRPr="000F3958">
        <w:t xml:space="preserve">Goodwill with an indefinite useful life is tested for impairment annually and when there are indications of impairment. The recoverable amount for a cash-generating unit is determined based on value-in-use calculations. The calculations are based on estimated future cash flows based on management-approved financial forecasts covering a 10-year period. The assessment of future cash flows primarily includes assumptions about the segment's sales growth, adjusted EBITDA, discount rate and change in working capital and reinvestment needs. The estimated growth rate during the forecast period is based on industry forecasts for each cash-generating unit. When forecasting future growth during the forecast period, JumpYard has assumed a long-term estimated industry growth of approximately 2%, which </w:t>
      </w:r>
      <w:r w:rsidR="004F014C">
        <w:t>corresponds</w:t>
      </w:r>
      <w:r w:rsidRPr="000F3958">
        <w:t xml:space="preserve"> with the Group's long-term assumption of inflation and the market's long-term growth. The forecast EBITDA margin for each cash-generating unit has been based on past performance and management's expectations of the market. The reinvestment requirement has been assessed at 2% of annual sales, which is in line with the Group's historical levels. The discount rate for each cash-generating unit before tax reflects risks associated with the asset and amounted to 12.0%. Sensitivity analysis </w:t>
      </w:r>
      <w:r w:rsidRPr="00003ACE">
        <w:t>has been performed on assumptions regarding growth and discount rate. Based on management's analysis, a reasonable change in the assumption regarding growth or discount rate would not result in any impairment requirement. Assumptions regarding long-term growth and discount rate can be changed significantly without any impairment requirement arising.</w:t>
      </w:r>
    </w:p>
    <w:p w14:paraId="35941DE5" w14:textId="77777777" w:rsidR="00003ACE" w:rsidRPr="00003ACE" w:rsidRDefault="00003ACE" w:rsidP="00003ACE">
      <w:pPr>
        <w:pStyle w:val="Brdtext"/>
        <w:spacing w:line="264" w:lineRule="auto"/>
        <w:ind w:left="118" w:right="516"/>
      </w:pPr>
    </w:p>
    <w:p w14:paraId="3C64FC95" w14:textId="33D2021E" w:rsidR="00987DAC" w:rsidRPr="00003ACE" w:rsidRDefault="00016B4C">
      <w:pPr>
        <w:ind w:left="118"/>
        <w:rPr>
          <w:b/>
          <w:spacing w:val="-5"/>
          <w:sz w:val="24"/>
        </w:rPr>
      </w:pPr>
      <w:r w:rsidRPr="00003ACE">
        <w:rPr>
          <w:b/>
          <w:sz w:val="24"/>
        </w:rPr>
        <w:t>Note</w:t>
      </w:r>
      <w:r w:rsidRPr="00003ACE">
        <w:rPr>
          <w:b/>
          <w:spacing w:val="-3"/>
          <w:sz w:val="24"/>
        </w:rPr>
        <w:t xml:space="preserve"> </w:t>
      </w:r>
      <w:r w:rsidRPr="00003ACE">
        <w:rPr>
          <w:b/>
          <w:sz w:val="24"/>
        </w:rPr>
        <w:t>1</w:t>
      </w:r>
      <w:r w:rsidR="00EF3ECB" w:rsidRPr="00003ACE">
        <w:rPr>
          <w:b/>
          <w:sz w:val="24"/>
        </w:rPr>
        <w:t>5</w:t>
      </w:r>
      <w:r w:rsidRPr="00003ACE">
        <w:rPr>
          <w:b/>
          <w:spacing w:val="-5"/>
          <w:sz w:val="24"/>
        </w:rPr>
        <w:t xml:space="preserve"> </w:t>
      </w:r>
      <w:r w:rsidR="00EF3ECB" w:rsidRPr="00003ACE">
        <w:rPr>
          <w:b/>
          <w:spacing w:val="-5"/>
          <w:sz w:val="24"/>
        </w:rPr>
        <w:t>Activated development expenses</w:t>
      </w:r>
    </w:p>
    <w:p w14:paraId="3920B9A8" w14:textId="77777777" w:rsidR="00EF3ECB" w:rsidRPr="007436C2" w:rsidRDefault="00EF3ECB" w:rsidP="007436C2">
      <w:pPr>
        <w:pStyle w:val="Brdtext"/>
        <w:spacing w:line="264" w:lineRule="auto"/>
        <w:ind w:left="118" w:right="516"/>
      </w:pPr>
    </w:p>
    <w:p w14:paraId="27034D5E" w14:textId="0BA9BC20" w:rsidR="00EF3ECB" w:rsidRDefault="001B3D21">
      <w:pPr>
        <w:ind w:left="118"/>
        <w:rPr>
          <w:b/>
          <w:sz w:val="24"/>
        </w:rPr>
      </w:pPr>
      <w:r w:rsidRPr="001B3D21">
        <w:rPr>
          <w:noProof/>
        </w:rPr>
        <w:drawing>
          <wp:inline distT="0" distB="0" distL="0" distR="0" wp14:anchorId="225D0EB5" wp14:editId="1777A78E">
            <wp:extent cx="6115050" cy="2823210"/>
            <wp:effectExtent l="0" t="0" r="0" b="0"/>
            <wp:docPr id="1674658925"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5050" cy="2823210"/>
                    </a:xfrm>
                    <a:prstGeom prst="rect">
                      <a:avLst/>
                    </a:prstGeom>
                    <a:noFill/>
                    <a:ln>
                      <a:noFill/>
                    </a:ln>
                  </pic:spPr>
                </pic:pic>
              </a:graphicData>
            </a:graphic>
          </wp:inline>
        </w:drawing>
      </w:r>
    </w:p>
    <w:p w14:paraId="06634DCF" w14:textId="77777777" w:rsidR="00003ACE" w:rsidRDefault="00003ACE">
      <w:pPr>
        <w:ind w:left="118"/>
        <w:rPr>
          <w:b/>
          <w:sz w:val="24"/>
        </w:rPr>
      </w:pPr>
    </w:p>
    <w:p w14:paraId="3C64FC96" w14:textId="77777777" w:rsidR="00987DAC" w:rsidRPr="000678A6" w:rsidRDefault="00987DAC">
      <w:pPr>
        <w:pStyle w:val="Brdtext"/>
        <w:spacing w:before="4"/>
        <w:rPr>
          <w:b/>
          <w:sz w:val="9"/>
        </w:rPr>
      </w:pPr>
    </w:p>
    <w:p w14:paraId="3C64FD4E" w14:textId="77777777" w:rsidR="00987DAC" w:rsidRPr="008F26E2" w:rsidRDefault="00987DAC">
      <w:pPr>
        <w:spacing w:line="206" w:lineRule="exact"/>
        <w:jc w:val="right"/>
        <w:rPr>
          <w:color w:val="FF0000"/>
          <w:sz w:val="18"/>
        </w:rPr>
        <w:sectPr w:rsidR="00987DAC" w:rsidRPr="008F26E2">
          <w:pgSz w:w="11910" w:h="16840"/>
          <w:pgMar w:top="1420" w:right="980" w:bottom="900" w:left="1300" w:header="512" w:footer="719" w:gutter="0"/>
          <w:cols w:space="720"/>
        </w:sectPr>
      </w:pPr>
    </w:p>
    <w:p w14:paraId="3C64FD51" w14:textId="730152AC" w:rsidR="00987DAC" w:rsidRPr="00D95DA0" w:rsidRDefault="00016B4C">
      <w:pPr>
        <w:ind w:left="118"/>
        <w:rPr>
          <w:b/>
          <w:sz w:val="24"/>
          <w:lang w:val="sv-SE"/>
        </w:rPr>
      </w:pPr>
      <w:r w:rsidRPr="00D95DA0">
        <w:rPr>
          <w:b/>
          <w:sz w:val="24"/>
          <w:lang w:val="sv-SE"/>
        </w:rPr>
        <w:lastRenderedPageBreak/>
        <w:t>Not</w:t>
      </w:r>
      <w:r w:rsidR="007E426E" w:rsidRPr="00D95DA0">
        <w:rPr>
          <w:b/>
          <w:sz w:val="24"/>
          <w:lang w:val="sv-SE"/>
        </w:rPr>
        <w:t>e</w:t>
      </w:r>
      <w:r w:rsidRPr="00D95DA0">
        <w:rPr>
          <w:b/>
          <w:sz w:val="24"/>
          <w:lang w:val="sv-SE"/>
        </w:rPr>
        <w:t xml:space="preserve"> 1</w:t>
      </w:r>
      <w:r w:rsidR="005976CC" w:rsidRPr="00D95DA0">
        <w:rPr>
          <w:b/>
          <w:sz w:val="24"/>
          <w:lang w:val="sv-SE"/>
        </w:rPr>
        <w:t>6</w:t>
      </w:r>
      <w:r w:rsidRPr="00D95DA0">
        <w:rPr>
          <w:b/>
          <w:sz w:val="24"/>
          <w:lang w:val="sv-SE"/>
        </w:rPr>
        <w:t xml:space="preserve"> </w:t>
      </w:r>
      <w:r w:rsidR="005976CC" w:rsidRPr="00D95DA0">
        <w:rPr>
          <w:b/>
          <w:sz w:val="24"/>
          <w:lang w:val="sv-SE"/>
        </w:rPr>
        <w:t>Tangible assets</w:t>
      </w:r>
    </w:p>
    <w:p w14:paraId="3C64FD52" w14:textId="77777777" w:rsidR="00987DAC" w:rsidRPr="000A0BB3" w:rsidRDefault="00987DAC" w:rsidP="00D95DA0">
      <w:pPr>
        <w:ind w:left="118"/>
        <w:rPr>
          <w:b/>
          <w:sz w:val="18"/>
          <w:szCs w:val="18"/>
          <w:lang w:val="sv-SE"/>
        </w:rPr>
      </w:pPr>
    </w:p>
    <w:p w14:paraId="38E31149" w14:textId="4F614EA6" w:rsidR="004D69C0" w:rsidRPr="00D95DA0" w:rsidRDefault="00AD5748" w:rsidP="00D95DA0">
      <w:pPr>
        <w:pStyle w:val="Brdtext"/>
        <w:spacing w:line="264" w:lineRule="auto"/>
        <w:ind w:left="118" w:right="476"/>
      </w:pPr>
      <w:r w:rsidRPr="00D95DA0">
        <w:rPr>
          <w:noProof/>
        </w:rPr>
        <w:drawing>
          <wp:inline distT="0" distB="0" distL="0" distR="0" wp14:anchorId="703CA9CA" wp14:editId="3B0CB934">
            <wp:extent cx="5829300" cy="4633780"/>
            <wp:effectExtent l="0" t="0" r="0" b="0"/>
            <wp:docPr id="1421787853"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6871" cy="4639798"/>
                    </a:xfrm>
                    <a:prstGeom prst="rect">
                      <a:avLst/>
                    </a:prstGeom>
                    <a:noFill/>
                    <a:ln>
                      <a:noFill/>
                    </a:ln>
                  </pic:spPr>
                </pic:pic>
              </a:graphicData>
            </a:graphic>
          </wp:inline>
        </w:drawing>
      </w:r>
    </w:p>
    <w:p w14:paraId="789E89EF" w14:textId="77777777" w:rsidR="004D69C0" w:rsidRDefault="004D69C0" w:rsidP="003945E7">
      <w:pPr>
        <w:pStyle w:val="Brdtext"/>
        <w:spacing w:line="264" w:lineRule="auto"/>
        <w:ind w:left="118" w:right="476"/>
      </w:pPr>
    </w:p>
    <w:p w14:paraId="1C8B0244" w14:textId="37F2E3FE" w:rsidR="00D95DA0" w:rsidRPr="00D35ABA" w:rsidRDefault="00642ABB" w:rsidP="00D35ABA">
      <w:pPr>
        <w:ind w:left="118"/>
        <w:rPr>
          <w:sz w:val="18"/>
          <w:szCs w:val="18"/>
          <w:lang w:val="sv-SE"/>
        </w:rPr>
      </w:pPr>
      <w:r w:rsidRPr="00D35ABA">
        <w:rPr>
          <w:sz w:val="18"/>
          <w:szCs w:val="18"/>
          <w:lang w:val="sv-SE"/>
        </w:rPr>
        <w:t xml:space="preserve">The Group's largest capitalized expense primarily relates to the activity equipment in the facilities, such as trampolines, climbing walls, etc., together with </w:t>
      </w:r>
      <w:r w:rsidR="007B118B">
        <w:rPr>
          <w:sz w:val="18"/>
          <w:szCs w:val="18"/>
          <w:lang w:val="sv-SE"/>
        </w:rPr>
        <w:t>facility improvements</w:t>
      </w:r>
      <w:r w:rsidRPr="00D35ABA">
        <w:rPr>
          <w:sz w:val="18"/>
          <w:szCs w:val="18"/>
          <w:lang w:val="sv-SE"/>
        </w:rPr>
        <w:t>. The Group has previously leased this type of asset</w:t>
      </w:r>
      <w:r w:rsidR="00CC34BA">
        <w:rPr>
          <w:sz w:val="18"/>
          <w:szCs w:val="18"/>
          <w:lang w:val="sv-SE"/>
        </w:rPr>
        <w:t>s</w:t>
      </w:r>
      <w:r w:rsidRPr="00D35ABA">
        <w:rPr>
          <w:sz w:val="18"/>
          <w:szCs w:val="18"/>
          <w:lang w:val="sv-SE"/>
        </w:rPr>
        <w:t xml:space="preserve"> but has switched to capitalization.</w:t>
      </w:r>
    </w:p>
    <w:p w14:paraId="60E6705B" w14:textId="77777777" w:rsidR="00D95DA0" w:rsidRDefault="00D95DA0" w:rsidP="003945E7">
      <w:pPr>
        <w:pStyle w:val="Brdtext"/>
        <w:spacing w:line="264" w:lineRule="auto"/>
        <w:ind w:left="118" w:right="476"/>
      </w:pPr>
    </w:p>
    <w:p w14:paraId="59F75561" w14:textId="28696195" w:rsidR="00CB277C" w:rsidRDefault="00CB277C" w:rsidP="003945E7">
      <w:pPr>
        <w:pStyle w:val="Brdtext"/>
        <w:spacing w:line="264" w:lineRule="auto"/>
        <w:ind w:left="118" w:right="476"/>
      </w:pPr>
      <w:r>
        <w:t xml:space="preserve">See note 2 for more information regarding the groups’ policies for </w:t>
      </w:r>
      <w:r w:rsidR="00D23964">
        <w:t>capitalizing and depreciations.</w:t>
      </w:r>
    </w:p>
    <w:p w14:paraId="27D1655C" w14:textId="77777777" w:rsidR="00D95DA0" w:rsidRPr="00D23964" w:rsidRDefault="00D95DA0" w:rsidP="003945E7">
      <w:pPr>
        <w:pStyle w:val="Brdtext"/>
        <w:spacing w:line="264" w:lineRule="auto"/>
        <w:ind w:left="118" w:right="476"/>
      </w:pPr>
    </w:p>
    <w:p w14:paraId="3C64FDA4" w14:textId="66086C2B" w:rsidR="00987DAC" w:rsidRPr="00D23964" w:rsidRDefault="00016B4C">
      <w:pPr>
        <w:ind w:left="118"/>
        <w:rPr>
          <w:b/>
          <w:sz w:val="24"/>
        </w:rPr>
      </w:pPr>
      <w:r w:rsidRPr="00D23964">
        <w:rPr>
          <w:b/>
          <w:sz w:val="24"/>
        </w:rPr>
        <w:t>Note</w:t>
      </w:r>
      <w:r w:rsidRPr="00D23964">
        <w:rPr>
          <w:b/>
          <w:spacing w:val="-1"/>
          <w:sz w:val="24"/>
        </w:rPr>
        <w:t xml:space="preserve"> </w:t>
      </w:r>
      <w:r w:rsidRPr="00D23964">
        <w:rPr>
          <w:b/>
          <w:sz w:val="24"/>
        </w:rPr>
        <w:t>1</w:t>
      </w:r>
      <w:r w:rsidR="004D69C0" w:rsidRPr="00D23964">
        <w:rPr>
          <w:b/>
          <w:sz w:val="24"/>
        </w:rPr>
        <w:t>7</w:t>
      </w:r>
      <w:r w:rsidRPr="00D23964">
        <w:rPr>
          <w:b/>
          <w:spacing w:val="-1"/>
          <w:sz w:val="24"/>
        </w:rPr>
        <w:t xml:space="preserve"> </w:t>
      </w:r>
      <w:r w:rsidR="004D69C0" w:rsidRPr="00D23964">
        <w:rPr>
          <w:b/>
          <w:spacing w:val="-1"/>
          <w:sz w:val="24"/>
        </w:rPr>
        <w:t>Leasing</w:t>
      </w:r>
    </w:p>
    <w:p w14:paraId="203AB59E" w14:textId="77777777" w:rsidR="003945E7" w:rsidRPr="00D23964" w:rsidRDefault="003945E7" w:rsidP="003945E7">
      <w:pPr>
        <w:pStyle w:val="Brdtext"/>
        <w:spacing w:line="264" w:lineRule="auto"/>
        <w:ind w:left="118" w:right="476"/>
      </w:pPr>
    </w:p>
    <w:p w14:paraId="0E196327" w14:textId="106B110C" w:rsidR="003945E7" w:rsidRPr="00D23964" w:rsidRDefault="00A539B4" w:rsidP="003945E7">
      <w:pPr>
        <w:pStyle w:val="Brdtext"/>
        <w:spacing w:line="264" w:lineRule="auto"/>
        <w:ind w:left="118" w:right="476"/>
      </w:pPr>
      <w:r w:rsidRPr="00A539B4">
        <w:rPr>
          <w:noProof/>
        </w:rPr>
        <w:drawing>
          <wp:inline distT="0" distB="0" distL="0" distR="0" wp14:anchorId="3942F2E8" wp14:editId="1D8F9287">
            <wp:extent cx="6115050" cy="1163320"/>
            <wp:effectExtent l="0" t="0" r="0" b="0"/>
            <wp:docPr id="135223906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15050" cy="1163320"/>
                    </a:xfrm>
                    <a:prstGeom prst="rect">
                      <a:avLst/>
                    </a:prstGeom>
                    <a:noFill/>
                    <a:ln>
                      <a:noFill/>
                    </a:ln>
                  </pic:spPr>
                </pic:pic>
              </a:graphicData>
            </a:graphic>
          </wp:inline>
        </w:drawing>
      </w:r>
    </w:p>
    <w:p w14:paraId="61CB601B" w14:textId="77777777" w:rsidR="003945E7" w:rsidRPr="00D23964" w:rsidRDefault="003945E7" w:rsidP="003945E7">
      <w:pPr>
        <w:pStyle w:val="Brdtext"/>
        <w:spacing w:line="264" w:lineRule="auto"/>
        <w:ind w:left="118" w:right="476"/>
      </w:pPr>
    </w:p>
    <w:p w14:paraId="2BBC4E78" w14:textId="55DCBDD7" w:rsidR="000A0F56" w:rsidRDefault="003945E7" w:rsidP="000A0F56">
      <w:pPr>
        <w:ind w:left="118"/>
        <w:rPr>
          <w:sz w:val="18"/>
          <w:szCs w:val="18"/>
          <w:lang w:val="sv-SE"/>
        </w:rPr>
      </w:pPr>
      <w:r w:rsidRPr="000A0F56">
        <w:rPr>
          <w:sz w:val="18"/>
          <w:szCs w:val="18"/>
          <w:lang w:val="sv-SE"/>
        </w:rPr>
        <w:t xml:space="preserve">The Group’s lease agreements consist mainly of agreements to rent properties for </w:t>
      </w:r>
      <w:r w:rsidR="007F7AA1">
        <w:rPr>
          <w:sz w:val="18"/>
          <w:szCs w:val="18"/>
          <w:lang w:val="sv-SE"/>
        </w:rPr>
        <w:t xml:space="preserve">activity- and trampoline </w:t>
      </w:r>
      <w:r w:rsidRPr="000A0F56">
        <w:rPr>
          <w:sz w:val="18"/>
          <w:szCs w:val="18"/>
          <w:lang w:val="sv-SE"/>
        </w:rPr>
        <w:t xml:space="preserve">activities. Most property agreements are indexed to the local Consumer Price Index, however, in some cases, rent increases have been agreed to using other indexation methods. Certain lease agreements for the rental of buildings include turnover-based rents, which are </w:t>
      </w:r>
      <w:r w:rsidR="00457D97" w:rsidRPr="000A0F56">
        <w:rPr>
          <w:sz w:val="18"/>
          <w:szCs w:val="18"/>
          <w:lang w:val="sv-SE"/>
        </w:rPr>
        <w:t>recognize</w:t>
      </w:r>
      <w:r w:rsidRPr="000A0F56">
        <w:rPr>
          <w:sz w:val="18"/>
          <w:szCs w:val="18"/>
          <w:lang w:val="sv-SE"/>
        </w:rPr>
        <w:t xml:space="preserve">d in the income statement in the period in which the condition that triggers the fee arises. Variable lease payments that do not depend on an index or price are not included in the measurement of the lease liability or right-of-use. These attributable payments are </w:t>
      </w:r>
      <w:r w:rsidR="00457D97" w:rsidRPr="000A0F56">
        <w:rPr>
          <w:sz w:val="18"/>
          <w:szCs w:val="18"/>
          <w:lang w:val="sv-SE"/>
        </w:rPr>
        <w:t>recognize</w:t>
      </w:r>
      <w:r w:rsidRPr="000A0F56">
        <w:rPr>
          <w:sz w:val="18"/>
          <w:szCs w:val="18"/>
          <w:lang w:val="sv-SE"/>
        </w:rPr>
        <w:t>d as an expense in the period in which the event or condition giving rise to these payments arises and are included in “Other operating expenses” in the income statement.</w:t>
      </w:r>
      <w:r w:rsidR="00F33402" w:rsidRPr="000A0F56">
        <w:rPr>
          <w:sz w:val="18"/>
          <w:szCs w:val="18"/>
          <w:lang w:val="sv-SE"/>
        </w:rPr>
        <w:t xml:space="preserve"> Property leases often contain a clause regarding an </w:t>
      </w:r>
      <w:r w:rsidR="00242880">
        <w:rPr>
          <w:sz w:val="18"/>
          <w:szCs w:val="18"/>
          <w:lang w:val="sv-SE"/>
        </w:rPr>
        <w:t>option to prolong the contract</w:t>
      </w:r>
      <w:r w:rsidR="00F33402" w:rsidRPr="000A0F56">
        <w:rPr>
          <w:sz w:val="18"/>
          <w:szCs w:val="18"/>
          <w:lang w:val="sv-SE"/>
        </w:rPr>
        <w:t xml:space="preserve">. When the lease is </w:t>
      </w:r>
      <w:r w:rsidR="00E74243">
        <w:rPr>
          <w:sz w:val="18"/>
          <w:szCs w:val="18"/>
          <w:lang w:val="sv-SE"/>
        </w:rPr>
        <w:t>prolonged</w:t>
      </w:r>
      <w:r w:rsidR="00F33402" w:rsidRPr="000A0F56">
        <w:rPr>
          <w:sz w:val="18"/>
          <w:szCs w:val="18"/>
          <w:lang w:val="sv-SE"/>
        </w:rPr>
        <w:t xml:space="preserve"> according to the option, there is a change in the right-of-use asset and in the finance lease liability. The Group has attributable variable lease payments </w:t>
      </w:r>
      <w:r w:rsidR="00373BFF">
        <w:rPr>
          <w:sz w:val="18"/>
          <w:szCs w:val="18"/>
          <w:lang w:val="sv-SE"/>
        </w:rPr>
        <w:t xml:space="preserve">through revenue-based rent. These are however immaterial and therefore not </w:t>
      </w:r>
      <w:r w:rsidR="0004529F">
        <w:rPr>
          <w:sz w:val="18"/>
          <w:szCs w:val="18"/>
          <w:lang w:val="sv-SE"/>
        </w:rPr>
        <w:t>reported separately.</w:t>
      </w:r>
    </w:p>
    <w:p w14:paraId="69E65900" w14:textId="77777777" w:rsidR="000A0F56" w:rsidRDefault="000A0F56">
      <w:pPr>
        <w:rPr>
          <w:sz w:val="18"/>
          <w:szCs w:val="18"/>
          <w:lang w:val="sv-SE"/>
        </w:rPr>
      </w:pPr>
      <w:r>
        <w:rPr>
          <w:sz w:val="18"/>
          <w:szCs w:val="18"/>
          <w:lang w:val="sv-SE"/>
        </w:rPr>
        <w:br w:type="page"/>
      </w:r>
    </w:p>
    <w:p w14:paraId="3C64FE34" w14:textId="5A7AF14F" w:rsidR="00987DAC" w:rsidRPr="00CD1E0E" w:rsidRDefault="009D2AF1" w:rsidP="009D2AF1">
      <w:pPr>
        <w:pStyle w:val="Brdtext"/>
        <w:spacing w:line="264" w:lineRule="auto"/>
        <w:ind w:left="118" w:right="476"/>
      </w:pPr>
      <w:r w:rsidRPr="00CD1E0E">
        <w:lastRenderedPageBreak/>
        <w:t xml:space="preserve">As a practical expedient, IFRS 16 allows not to separate non-lease components from lease components, and instead to </w:t>
      </w:r>
      <w:r w:rsidR="00457D97">
        <w:t>recognize</w:t>
      </w:r>
      <w:r w:rsidRPr="00CD1E0E">
        <w:t xml:space="preserve"> each lease component and all related non-lease components as a single lease component. The Group has </w:t>
      </w:r>
      <w:r w:rsidR="00F70F24">
        <w:t>chosen</w:t>
      </w:r>
      <w:r w:rsidRPr="00CD1E0E">
        <w:t xml:space="preserve"> not to use this practical expedient.</w:t>
      </w:r>
    </w:p>
    <w:p w14:paraId="2A301B03" w14:textId="77777777" w:rsidR="009D2AF1" w:rsidRPr="00CD1E0E" w:rsidRDefault="009D2AF1" w:rsidP="00F70F24">
      <w:pPr>
        <w:pStyle w:val="Brdtext"/>
        <w:spacing w:line="264" w:lineRule="auto"/>
        <w:ind w:left="118" w:right="476"/>
      </w:pPr>
    </w:p>
    <w:p w14:paraId="70C02516" w14:textId="77777777" w:rsidR="008E3680" w:rsidRDefault="008E3680" w:rsidP="008E3680">
      <w:pPr>
        <w:pStyle w:val="Brdtext"/>
        <w:spacing w:line="264" w:lineRule="auto"/>
        <w:ind w:left="118" w:right="476"/>
      </w:pPr>
      <w:r w:rsidRPr="00CD1E0E">
        <w:t>In light of the fact that the implicit interest rate has not been determined, the Group has set the marginal lending rate for its premises leases at 4.25% + STIBOR and for other leases at 6.25% + STIBOR.</w:t>
      </w:r>
    </w:p>
    <w:p w14:paraId="67FA2F64" w14:textId="77777777" w:rsidR="00C44CC9" w:rsidRPr="00CD1E0E" w:rsidRDefault="00C44CC9" w:rsidP="008E3680">
      <w:pPr>
        <w:pStyle w:val="Brdtext"/>
        <w:spacing w:line="264" w:lineRule="auto"/>
        <w:ind w:left="118" w:right="476"/>
      </w:pPr>
    </w:p>
    <w:p w14:paraId="3C64FE36" w14:textId="165BABAA" w:rsidR="00987DAC" w:rsidRPr="00CD1E0E" w:rsidRDefault="008E3680" w:rsidP="008E3680">
      <w:pPr>
        <w:pStyle w:val="Brdtext"/>
        <w:spacing w:line="264" w:lineRule="auto"/>
        <w:ind w:left="118" w:right="476"/>
      </w:pPr>
      <w:r w:rsidRPr="00CD1E0E">
        <w:t>The Group has historically leased the activity equipment installed on the sites and these agreements expire gradually and will be fully terminated within three years.</w:t>
      </w:r>
    </w:p>
    <w:p w14:paraId="1DC02153" w14:textId="77777777" w:rsidR="008E3680" w:rsidRPr="00CD1E0E" w:rsidRDefault="008E3680" w:rsidP="008E3680">
      <w:pPr>
        <w:pStyle w:val="Brdtext"/>
        <w:spacing w:line="264" w:lineRule="auto"/>
        <w:ind w:left="118" w:right="476"/>
      </w:pPr>
    </w:p>
    <w:p w14:paraId="3C64FE37" w14:textId="50DA5856" w:rsidR="00987DAC" w:rsidRDefault="00016B4C">
      <w:pPr>
        <w:pStyle w:val="Brdtext"/>
        <w:ind w:left="118"/>
        <w:rPr>
          <w:spacing w:val="-3"/>
        </w:rPr>
      </w:pPr>
      <w:r w:rsidRPr="00CD1E0E">
        <w:t>A</w:t>
      </w:r>
      <w:r w:rsidRPr="00CD1E0E">
        <w:rPr>
          <w:spacing w:val="-3"/>
        </w:rPr>
        <w:t xml:space="preserve"> </w:t>
      </w:r>
      <w:r w:rsidRPr="00CD1E0E">
        <w:t>maturity</w:t>
      </w:r>
      <w:r w:rsidRPr="00CD1E0E">
        <w:rPr>
          <w:spacing w:val="-4"/>
        </w:rPr>
        <w:t xml:space="preserve"> </w:t>
      </w:r>
      <w:r w:rsidRPr="00CD1E0E">
        <w:t>analysis</w:t>
      </w:r>
      <w:r w:rsidRPr="00CD1E0E">
        <w:rPr>
          <w:spacing w:val="-1"/>
        </w:rPr>
        <w:t xml:space="preserve"> </w:t>
      </w:r>
      <w:r w:rsidRPr="00CD1E0E">
        <w:t>of</w:t>
      </w:r>
      <w:r w:rsidRPr="00CD1E0E">
        <w:rPr>
          <w:spacing w:val="-5"/>
        </w:rPr>
        <w:t xml:space="preserve"> </w:t>
      </w:r>
      <w:r w:rsidRPr="00CD1E0E">
        <w:t>leas</w:t>
      </w:r>
      <w:r w:rsidR="008E3680" w:rsidRPr="00CD1E0E">
        <w:t>e</w:t>
      </w:r>
      <w:r w:rsidRPr="00CD1E0E">
        <w:rPr>
          <w:spacing w:val="-2"/>
        </w:rPr>
        <w:t xml:space="preserve"> </w:t>
      </w:r>
      <w:r w:rsidRPr="00CD1E0E">
        <w:t>liabilities</w:t>
      </w:r>
      <w:r w:rsidRPr="00CD1E0E">
        <w:rPr>
          <w:spacing w:val="-4"/>
        </w:rPr>
        <w:t xml:space="preserve"> </w:t>
      </w:r>
      <w:r w:rsidRPr="00CD1E0E">
        <w:t>is</w:t>
      </w:r>
      <w:r w:rsidRPr="00CD1E0E">
        <w:rPr>
          <w:spacing w:val="-4"/>
        </w:rPr>
        <w:t xml:space="preserve"> </w:t>
      </w:r>
      <w:r w:rsidRPr="00CD1E0E">
        <w:t>presented below</w:t>
      </w:r>
      <w:r w:rsidR="008E3680" w:rsidRPr="00CD1E0E">
        <w:rPr>
          <w:spacing w:val="-3"/>
        </w:rPr>
        <w:t>.</w:t>
      </w:r>
    </w:p>
    <w:p w14:paraId="1E30D103" w14:textId="77777777" w:rsidR="000850A4" w:rsidRDefault="000850A4">
      <w:pPr>
        <w:pStyle w:val="Brdtext"/>
        <w:ind w:left="118"/>
        <w:rPr>
          <w:spacing w:val="-3"/>
        </w:rPr>
      </w:pPr>
    </w:p>
    <w:p w14:paraId="142245D4" w14:textId="6E512181" w:rsidR="000850A4" w:rsidRPr="00CD1E0E" w:rsidRDefault="000850A4">
      <w:pPr>
        <w:pStyle w:val="Brdtext"/>
        <w:ind w:left="118"/>
      </w:pPr>
      <w:r w:rsidRPr="000850A4">
        <w:rPr>
          <w:noProof/>
        </w:rPr>
        <w:drawing>
          <wp:inline distT="0" distB="0" distL="0" distR="0" wp14:anchorId="714593F1" wp14:editId="631CFA5E">
            <wp:extent cx="4791075" cy="1540292"/>
            <wp:effectExtent l="0" t="0" r="0" b="3175"/>
            <wp:docPr id="374672564"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97267" cy="1542283"/>
                    </a:xfrm>
                    <a:prstGeom prst="rect">
                      <a:avLst/>
                    </a:prstGeom>
                    <a:noFill/>
                    <a:ln>
                      <a:noFill/>
                    </a:ln>
                  </pic:spPr>
                </pic:pic>
              </a:graphicData>
            </a:graphic>
          </wp:inline>
        </w:drawing>
      </w:r>
    </w:p>
    <w:p w14:paraId="3C64FE4B" w14:textId="77777777" w:rsidR="00987DAC" w:rsidRPr="005B6F52" w:rsidRDefault="00987DAC">
      <w:pPr>
        <w:pStyle w:val="Brdtext"/>
        <w:spacing w:before="21"/>
      </w:pPr>
    </w:p>
    <w:p w14:paraId="331179D0" w14:textId="388F0639" w:rsidR="00012BD3" w:rsidRDefault="00016B4C">
      <w:pPr>
        <w:pStyle w:val="Brdtext"/>
        <w:ind w:left="118"/>
      </w:pPr>
      <w:r w:rsidRPr="005B6F52">
        <w:t>The</w:t>
      </w:r>
      <w:r w:rsidRPr="005B6F52">
        <w:rPr>
          <w:spacing w:val="-4"/>
        </w:rPr>
        <w:t xml:space="preserve"> </w:t>
      </w:r>
      <w:r w:rsidRPr="005B6F52">
        <w:t>total</w:t>
      </w:r>
      <w:r w:rsidRPr="005B6F52">
        <w:rPr>
          <w:spacing w:val="-5"/>
        </w:rPr>
        <w:t xml:space="preserve"> </w:t>
      </w:r>
      <w:r w:rsidRPr="005B6F52">
        <w:t>cash</w:t>
      </w:r>
      <w:r w:rsidRPr="005B6F52">
        <w:rPr>
          <w:spacing w:val="-3"/>
        </w:rPr>
        <w:t xml:space="preserve"> </w:t>
      </w:r>
      <w:r w:rsidRPr="005B6F52">
        <w:t>outflow</w:t>
      </w:r>
      <w:r w:rsidRPr="005B6F52">
        <w:rPr>
          <w:spacing w:val="-3"/>
        </w:rPr>
        <w:t xml:space="preserve"> </w:t>
      </w:r>
      <w:r w:rsidRPr="005B6F52">
        <w:t>for</w:t>
      </w:r>
      <w:r w:rsidRPr="005B6F52">
        <w:rPr>
          <w:spacing w:val="-5"/>
        </w:rPr>
        <w:t xml:space="preserve"> </w:t>
      </w:r>
      <w:r w:rsidRPr="005B6F52">
        <w:t>leases</w:t>
      </w:r>
      <w:r w:rsidRPr="005B6F52">
        <w:rPr>
          <w:spacing w:val="-2"/>
        </w:rPr>
        <w:t xml:space="preserve"> </w:t>
      </w:r>
      <w:r w:rsidRPr="005B6F52">
        <w:t>totals</w:t>
      </w:r>
      <w:r w:rsidRPr="005B6F52">
        <w:rPr>
          <w:spacing w:val="-2"/>
        </w:rPr>
        <w:t xml:space="preserve"> </w:t>
      </w:r>
      <w:r w:rsidRPr="005B6F52">
        <w:t>SEK</w:t>
      </w:r>
      <w:r w:rsidRPr="005B6F52">
        <w:rPr>
          <w:spacing w:val="1"/>
        </w:rPr>
        <w:t xml:space="preserve"> </w:t>
      </w:r>
      <w:r w:rsidR="00E82DC2" w:rsidRPr="005B6F52">
        <w:t>58</w:t>
      </w:r>
      <w:r w:rsidR="005B6F52" w:rsidRPr="005B6F52">
        <w:t xml:space="preserve"> </w:t>
      </w:r>
      <w:r w:rsidR="00E54E25">
        <w:t>654</w:t>
      </w:r>
      <w:r w:rsidRPr="005B6F52">
        <w:rPr>
          <w:spacing w:val="-4"/>
        </w:rPr>
        <w:t xml:space="preserve"> </w:t>
      </w:r>
      <w:r w:rsidRPr="005B6F52">
        <w:t>(</w:t>
      </w:r>
      <w:r w:rsidR="00E82DC2" w:rsidRPr="005B6F52">
        <w:t>53</w:t>
      </w:r>
      <w:r w:rsidR="005B6F52" w:rsidRPr="005B6F52">
        <w:t xml:space="preserve"> 443</w:t>
      </w:r>
      <w:r w:rsidRPr="005B6F52">
        <w:t>)</w:t>
      </w:r>
      <w:r w:rsidR="005B6F52" w:rsidRPr="005B6F52">
        <w:t xml:space="preserve"> thousand</w:t>
      </w:r>
    </w:p>
    <w:p w14:paraId="45DCF602" w14:textId="77777777" w:rsidR="00012BD3" w:rsidRDefault="00012BD3">
      <w:pPr>
        <w:pStyle w:val="Brdtext"/>
        <w:ind w:left="118"/>
      </w:pPr>
    </w:p>
    <w:p w14:paraId="689D00DD" w14:textId="4F69D311" w:rsidR="00012BD3" w:rsidRDefault="00E54E25">
      <w:pPr>
        <w:pStyle w:val="Brdtext"/>
        <w:ind w:left="118"/>
      </w:pPr>
      <w:r w:rsidRPr="00E54E25">
        <w:rPr>
          <w:noProof/>
        </w:rPr>
        <w:drawing>
          <wp:inline distT="0" distB="0" distL="0" distR="0" wp14:anchorId="26251A7B" wp14:editId="32DAF960">
            <wp:extent cx="4848225" cy="2089319"/>
            <wp:effectExtent l="0" t="0" r="0" b="6350"/>
            <wp:docPr id="2040851382"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69526" cy="2098499"/>
                    </a:xfrm>
                    <a:prstGeom prst="rect">
                      <a:avLst/>
                    </a:prstGeom>
                    <a:noFill/>
                    <a:ln>
                      <a:noFill/>
                    </a:ln>
                  </pic:spPr>
                </pic:pic>
              </a:graphicData>
            </a:graphic>
          </wp:inline>
        </w:drawing>
      </w:r>
    </w:p>
    <w:p w14:paraId="3C64FE4C" w14:textId="1044095A" w:rsidR="00987DAC" w:rsidRPr="005B6F52" w:rsidRDefault="00987DAC">
      <w:pPr>
        <w:pStyle w:val="Brdtext"/>
        <w:ind w:left="118"/>
      </w:pPr>
    </w:p>
    <w:p w14:paraId="1A2A4EBB" w14:textId="069DDDCA" w:rsidR="00D55E80" w:rsidRDefault="00D55E80" w:rsidP="00D55E80">
      <w:pPr>
        <w:ind w:left="118"/>
        <w:rPr>
          <w:b/>
          <w:spacing w:val="-1"/>
          <w:sz w:val="24"/>
        </w:rPr>
      </w:pPr>
      <w:r w:rsidRPr="00D23964">
        <w:rPr>
          <w:b/>
          <w:sz w:val="24"/>
        </w:rPr>
        <w:t>Note</w:t>
      </w:r>
      <w:r w:rsidRPr="00D23964">
        <w:rPr>
          <w:b/>
          <w:spacing w:val="-1"/>
          <w:sz w:val="24"/>
        </w:rPr>
        <w:t xml:space="preserve"> </w:t>
      </w:r>
      <w:r w:rsidRPr="00D23964">
        <w:rPr>
          <w:b/>
          <w:sz w:val="24"/>
        </w:rPr>
        <w:t>1</w:t>
      </w:r>
      <w:r>
        <w:rPr>
          <w:b/>
          <w:sz w:val="24"/>
        </w:rPr>
        <w:t>8</w:t>
      </w:r>
      <w:r w:rsidRPr="00D23964">
        <w:rPr>
          <w:b/>
          <w:spacing w:val="-1"/>
          <w:sz w:val="24"/>
        </w:rPr>
        <w:t xml:space="preserve"> </w:t>
      </w:r>
      <w:r w:rsidR="00031DAB">
        <w:rPr>
          <w:b/>
          <w:spacing w:val="-1"/>
          <w:sz w:val="24"/>
        </w:rPr>
        <w:t>Other long term receivables</w:t>
      </w:r>
    </w:p>
    <w:p w14:paraId="7CEEC3FE" w14:textId="77777777" w:rsidR="00031DAB" w:rsidRPr="00DD5145" w:rsidRDefault="00031DAB" w:rsidP="00DD5145">
      <w:pPr>
        <w:pStyle w:val="Brdtext"/>
        <w:ind w:left="118"/>
      </w:pPr>
    </w:p>
    <w:p w14:paraId="68666880" w14:textId="419E3FA8" w:rsidR="00031DAB" w:rsidRPr="00D23964" w:rsidRDefault="00DD5145" w:rsidP="00D55E80">
      <w:pPr>
        <w:ind w:left="118"/>
        <w:rPr>
          <w:b/>
          <w:sz w:val="24"/>
        </w:rPr>
      </w:pPr>
      <w:r w:rsidRPr="00DD5145">
        <w:rPr>
          <w:noProof/>
        </w:rPr>
        <w:drawing>
          <wp:inline distT="0" distB="0" distL="0" distR="0" wp14:anchorId="14BAF580" wp14:editId="177D32B4">
            <wp:extent cx="5656011" cy="876300"/>
            <wp:effectExtent l="0" t="0" r="1905" b="0"/>
            <wp:docPr id="316298083"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77618" cy="879648"/>
                    </a:xfrm>
                    <a:prstGeom prst="rect">
                      <a:avLst/>
                    </a:prstGeom>
                    <a:noFill/>
                    <a:ln>
                      <a:noFill/>
                    </a:ln>
                  </pic:spPr>
                </pic:pic>
              </a:graphicData>
            </a:graphic>
          </wp:inline>
        </w:drawing>
      </w:r>
    </w:p>
    <w:p w14:paraId="3C64FED2" w14:textId="77777777" w:rsidR="00987DAC" w:rsidRPr="009B6039" w:rsidRDefault="00987DAC" w:rsidP="009B6039">
      <w:pPr>
        <w:pStyle w:val="Brdtext"/>
        <w:spacing w:before="21"/>
      </w:pPr>
    </w:p>
    <w:p w14:paraId="3C64FED3" w14:textId="7A75D1E2" w:rsidR="00987DAC" w:rsidRDefault="00016B4C" w:rsidP="009B6039">
      <w:pPr>
        <w:ind w:left="118"/>
        <w:rPr>
          <w:b/>
          <w:sz w:val="24"/>
        </w:rPr>
      </w:pPr>
      <w:r w:rsidRPr="009B6039">
        <w:rPr>
          <w:b/>
          <w:sz w:val="24"/>
        </w:rPr>
        <w:t xml:space="preserve">Note </w:t>
      </w:r>
      <w:r w:rsidR="00F41720" w:rsidRPr="009B6039">
        <w:rPr>
          <w:b/>
          <w:sz w:val="24"/>
        </w:rPr>
        <w:t>19</w:t>
      </w:r>
      <w:r w:rsidRPr="009B6039">
        <w:rPr>
          <w:b/>
          <w:sz w:val="24"/>
        </w:rPr>
        <w:t xml:space="preserve"> </w:t>
      </w:r>
      <w:r w:rsidR="006C1CBD" w:rsidRPr="009B6039">
        <w:rPr>
          <w:b/>
          <w:sz w:val="24"/>
        </w:rPr>
        <w:t>Current receivables</w:t>
      </w:r>
    </w:p>
    <w:p w14:paraId="324B7FE9" w14:textId="77777777" w:rsidR="00B8128D" w:rsidRPr="00B8128D" w:rsidRDefault="00B8128D" w:rsidP="00B8128D">
      <w:pPr>
        <w:pStyle w:val="Brdtext"/>
        <w:ind w:left="118"/>
      </w:pPr>
    </w:p>
    <w:p w14:paraId="3C64FED4" w14:textId="6D4A128D" w:rsidR="00987DAC" w:rsidRDefault="00B8128D" w:rsidP="00B8128D">
      <w:pPr>
        <w:pStyle w:val="Brdtext"/>
        <w:ind w:left="118"/>
      </w:pPr>
      <w:r w:rsidRPr="00B8128D">
        <w:rPr>
          <w:noProof/>
        </w:rPr>
        <w:drawing>
          <wp:inline distT="0" distB="0" distL="0" distR="0" wp14:anchorId="76F9E1A3" wp14:editId="24D40721">
            <wp:extent cx="5619750" cy="870682"/>
            <wp:effectExtent l="0" t="0" r="0" b="5715"/>
            <wp:docPr id="550679205"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53775" cy="875954"/>
                    </a:xfrm>
                    <a:prstGeom prst="rect">
                      <a:avLst/>
                    </a:prstGeom>
                    <a:noFill/>
                    <a:ln>
                      <a:noFill/>
                    </a:ln>
                  </pic:spPr>
                </pic:pic>
              </a:graphicData>
            </a:graphic>
          </wp:inline>
        </w:drawing>
      </w:r>
    </w:p>
    <w:p w14:paraId="3C64FF2E" w14:textId="547ACFC0" w:rsidR="00CB66D6" w:rsidRDefault="00CB66D6">
      <w:pPr>
        <w:rPr>
          <w:sz w:val="18"/>
          <w:szCs w:val="18"/>
        </w:rPr>
      </w:pPr>
      <w:r>
        <w:br w:type="page"/>
      </w:r>
    </w:p>
    <w:p w14:paraId="7B8B2D10" w14:textId="5900CDD2" w:rsidR="00CA5CB1" w:rsidRDefault="00CA5CB1" w:rsidP="00CA5CB1">
      <w:pPr>
        <w:ind w:left="118"/>
        <w:rPr>
          <w:b/>
          <w:sz w:val="24"/>
        </w:rPr>
      </w:pPr>
      <w:r w:rsidRPr="009B6039">
        <w:rPr>
          <w:b/>
          <w:sz w:val="24"/>
        </w:rPr>
        <w:lastRenderedPageBreak/>
        <w:t xml:space="preserve">Note </w:t>
      </w:r>
      <w:r w:rsidR="00894A36">
        <w:rPr>
          <w:b/>
          <w:sz w:val="24"/>
        </w:rPr>
        <w:t>20</w:t>
      </w:r>
      <w:r w:rsidRPr="009B6039">
        <w:rPr>
          <w:b/>
          <w:sz w:val="24"/>
        </w:rPr>
        <w:t xml:space="preserve"> </w:t>
      </w:r>
      <w:r w:rsidR="00B65121">
        <w:rPr>
          <w:b/>
          <w:sz w:val="24"/>
        </w:rPr>
        <w:t>Prepaid expenses and accrued revenue</w:t>
      </w:r>
    </w:p>
    <w:p w14:paraId="254CB8A6" w14:textId="77777777" w:rsidR="00CA5CB1" w:rsidRDefault="00CA5CB1" w:rsidP="00CA5CB1">
      <w:pPr>
        <w:pStyle w:val="Brdtext"/>
        <w:ind w:left="118"/>
      </w:pPr>
    </w:p>
    <w:p w14:paraId="7CD565B0" w14:textId="3D044442" w:rsidR="00B65121" w:rsidRDefault="00DD4360" w:rsidP="00CA5CB1">
      <w:pPr>
        <w:pStyle w:val="Brdtext"/>
        <w:ind w:left="118"/>
      </w:pPr>
      <w:r w:rsidRPr="00DD4360">
        <w:rPr>
          <w:noProof/>
        </w:rPr>
        <w:drawing>
          <wp:inline distT="0" distB="0" distL="0" distR="0" wp14:anchorId="07347709" wp14:editId="70B3F74B">
            <wp:extent cx="5715000" cy="885439"/>
            <wp:effectExtent l="0" t="0" r="0" b="0"/>
            <wp:docPr id="1988701078"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3891" cy="888366"/>
                    </a:xfrm>
                    <a:prstGeom prst="rect">
                      <a:avLst/>
                    </a:prstGeom>
                    <a:noFill/>
                    <a:ln>
                      <a:noFill/>
                    </a:ln>
                  </pic:spPr>
                </pic:pic>
              </a:graphicData>
            </a:graphic>
          </wp:inline>
        </w:drawing>
      </w:r>
    </w:p>
    <w:p w14:paraId="3A5028BD" w14:textId="77777777" w:rsidR="00B65121" w:rsidRPr="00DD4360" w:rsidRDefault="00B65121" w:rsidP="00DD4360">
      <w:pPr>
        <w:ind w:left="118"/>
        <w:rPr>
          <w:b/>
          <w:sz w:val="24"/>
        </w:rPr>
      </w:pPr>
    </w:p>
    <w:p w14:paraId="3C64FF2F" w14:textId="3E393AC1" w:rsidR="00987DAC" w:rsidRDefault="00016B4C" w:rsidP="00DD4360">
      <w:pPr>
        <w:ind w:left="118"/>
        <w:rPr>
          <w:b/>
          <w:sz w:val="24"/>
        </w:rPr>
      </w:pPr>
      <w:r w:rsidRPr="00DD4360">
        <w:rPr>
          <w:b/>
          <w:sz w:val="24"/>
        </w:rPr>
        <w:t>Note 2</w:t>
      </w:r>
      <w:r w:rsidR="00191F6C" w:rsidRPr="00DD4360">
        <w:rPr>
          <w:b/>
          <w:sz w:val="24"/>
        </w:rPr>
        <w:t>1</w:t>
      </w:r>
      <w:r w:rsidRPr="00DD4360">
        <w:rPr>
          <w:b/>
          <w:sz w:val="24"/>
        </w:rPr>
        <w:t xml:space="preserve"> Cash and cash equivalents</w:t>
      </w:r>
    </w:p>
    <w:p w14:paraId="68DA490C" w14:textId="77777777" w:rsidR="004251DC" w:rsidRPr="004251DC" w:rsidRDefault="004251DC" w:rsidP="004251DC">
      <w:pPr>
        <w:pStyle w:val="Brdtext"/>
        <w:ind w:left="118"/>
      </w:pPr>
    </w:p>
    <w:p w14:paraId="3C64FF30" w14:textId="329DD910" w:rsidR="00987DAC" w:rsidRPr="00DD4360" w:rsidRDefault="004251DC" w:rsidP="00DD4360">
      <w:pPr>
        <w:ind w:left="118"/>
        <w:rPr>
          <w:b/>
          <w:sz w:val="24"/>
        </w:rPr>
      </w:pPr>
      <w:r w:rsidRPr="004251DC">
        <w:rPr>
          <w:noProof/>
        </w:rPr>
        <w:drawing>
          <wp:inline distT="0" distB="0" distL="0" distR="0" wp14:anchorId="03982C8D" wp14:editId="7BC31192">
            <wp:extent cx="5724525" cy="886915"/>
            <wp:effectExtent l="0" t="0" r="0" b="8890"/>
            <wp:docPr id="1363584690"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3805" cy="888353"/>
                    </a:xfrm>
                    <a:prstGeom prst="rect">
                      <a:avLst/>
                    </a:prstGeom>
                    <a:noFill/>
                    <a:ln>
                      <a:noFill/>
                    </a:ln>
                  </pic:spPr>
                </pic:pic>
              </a:graphicData>
            </a:graphic>
          </wp:inline>
        </w:drawing>
      </w:r>
    </w:p>
    <w:p w14:paraId="3C64FF40" w14:textId="77777777" w:rsidR="00987DAC" w:rsidRPr="00940224" w:rsidRDefault="00987DAC" w:rsidP="00940224">
      <w:pPr>
        <w:ind w:left="118"/>
        <w:rPr>
          <w:b/>
          <w:sz w:val="24"/>
        </w:rPr>
      </w:pPr>
    </w:p>
    <w:p w14:paraId="3C64FF41" w14:textId="37094EE1" w:rsidR="00987DAC" w:rsidRDefault="00016B4C" w:rsidP="00940224">
      <w:pPr>
        <w:ind w:left="118"/>
        <w:rPr>
          <w:b/>
          <w:sz w:val="24"/>
        </w:rPr>
      </w:pPr>
      <w:r w:rsidRPr="00940224">
        <w:rPr>
          <w:b/>
          <w:sz w:val="24"/>
        </w:rPr>
        <w:t>Note 2</w:t>
      </w:r>
      <w:r w:rsidR="00191F6C" w:rsidRPr="00940224">
        <w:rPr>
          <w:b/>
          <w:sz w:val="24"/>
        </w:rPr>
        <w:t>2</w:t>
      </w:r>
      <w:r w:rsidRPr="00940224">
        <w:rPr>
          <w:b/>
          <w:sz w:val="24"/>
        </w:rPr>
        <w:t xml:space="preserve"> Share capital</w:t>
      </w:r>
    </w:p>
    <w:p w14:paraId="2630DB2B" w14:textId="77777777" w:rsidR="00940224" w:rsidRPr="00940224" w:rsidRDefault="00940224" w:rsidP="00940224">
      <w:pPr>
        <w:pStyle w:val="Brdtext"/>
        <w:ind w:left="118"/>
      </w:pPr>
    </w:p>
    <w:p w14:paraId="3C64FF43" w14:textId="604119BF" w:rsidR="00987DAC" w:rsidRDefault="003B24D8" w:rsidP="003B24D8">
      <w:pPr>
        <w:pStyle w:val="Brdtext"/>
        <w:spacing w:before="107" w:line="264" w:lineRule="auto"/>
        <w:ind w:left="118" w:right="591"/>
      </w:pPr>
      <w:r w:rsidRPr="003B24D8">
        <w:t>The share capital amounts to SEK 530,542.58 (SEK 530,746.16) as of 31 December 2024. The number of shares is distributed as follows:</w:t>
      </w:r>
    </w:p>
    <w:p w14:paraId="18F4FF86" w14:textId="28AD480E" w:rsidR="002277E7" w:rsidRDefault="002277E7" w:rsidP="002277E7">
      <w:pPr>
        <w:pStyle w:val="Brdtext"/>
        <w:spacing w:before="109" w:line="261" w:lineRule="auto"/>
        <w:ind w:left="118" w:right="301"/>
      </w:pPr>
      <w:r>
        <w:t>Name</w:t>
      </w:r>
      <w:r w:rsidRPr="007856E1">
        <w:tab/>
      </w:r>
      <w:r w:rsidRPr="007856E1">
        <w:tab/>
      </w:r>
      <w:r w:rsidRPr="007856E1">
        <w:tab/>
      </w:r>
      <w:r>
        <w:t>No of shares</w:t>
      </w:r>
      <w:r w:rsidRPr="007856E1">
        <w:tab/>
      </w:r>
      <w:r>
        <w:t>Quota share</w:t>
      </w:r>
      <w:r w:rsidRPr="007856E1">
        <w:br/>
      </w:r>
      <w:r>
        <w:t>Common shares</w:t>
      </w:r>
      <w:r w:rsidRPr="007856E1">
        <w:tab/>
      </w:r>
      <w:r w:rsidRPr="007856E1">
        <w:tab/>
        <w:t>57 301</w:t>
      </w:r>
      <w:r w:rsidRPr="007856E1">
        <w:tab/>
      </w:r>
      <w:r w:rsidRPr="007856E1">
        <w:tab/>
        <w:t>6,79</w:t>
      </w:r>
      <w:r w:rsidRPr="007856E1">
        <w:br/>
        <w:t>Pref A</w:t>
      </w:r>
      <w:r w:rsidRPr="007856E1">
        <w:tab/>
      </w:r>
      <w:r w:rsidRPr="007856E1">
        <w:tab/>
      </w:r>
      <w:r w:rsidRPr="007856E1">
        <w:tab/>
        <w:t>20 834</w:t>
      </w:r>
      <w:r w:rsidRPr="007856E1">
        <w:tab/>
      </w:r>
      <w:r w:rsidRPr="007856E1">
        <w:tab/>
        <w:t>6,79</w:t>
      </w:r>
      <w:r w:rsidRPr="007856E1">
        <w:br/>
        <w:t>Pref B</w:t>
      </w:r>
      <w:r w:rsidRPr="007856E1">
        <w:tab/>
      </w:r>
      <w:r w:rsidRPr="007856E1">
        <w:tab/>
      </w:r>
      <w:r w:rsidRPr="007856E1">
        <w:tab/>
        <w:t xml:space="preserve">     </w:t>
      </w:r>
      <w:r>
        <w:t>50</w:t>
      </w:r>
      <w:r w:rsidRPr="007856E1">
        <w:tab/>
      </w:r>
      <w:r w:rsidRPr="007856E1">
        <w:tab/>
        <w:t>6,79</w:t>
      </w:r>
    </w:p>
    <w:p w14:paraId="474BD64A" w14:textId="3F91BF53" w:rsidR="000175D8" w:rsidRDefault="000175D8" w:rsidP="000175D8">
      <w:pPr>
        <w:pStyle w:val="Brdtext"/>
        <w:spacing w:before="107" w:line="264" w:lineRule="auto"/>
        <w:ind w:left="118" w:right="591"/>
      </w:pPr>
      <w:r>
        <w:t xml:space="preserve">The Company has two series of preferred shares (Series A and Series B), both of which are held by Cinder Invest AB. Both series have priority in profit distribution and both carry an accumulated dividend, currently 5% for Series A and 15% for Series B. The Company has no obligation to repay the nominal amount of either class of preference shares nor does it have any obligation to pay accumulated dividends in cash. However, the holders have the option, under certain conditions according to the shareholders' agreement, to convert the preference shares into common shares. The Company's bond terms make it impossible for the Company to pay cash dividends </w:t>
      </w:r>
      <w:r w:rsidR="00754735">
        <w:t xml:space="preserve">(with </w:t>
      </w:r>
      <w:r w:rsidR="007E1DF0">
        <w:t xml:space="preserve">exception of the dividend that was issued in the transaction described below) </w:t>
      </w:r>
      <w:r>
        <w:t>and to replace preference shares with capital other than capital classified as equity.</w:t>
      </w:r>
    </w:p>
    <w:p w14:paraId="1E47B5D4" w14:textId="09DD1E3A" w:rsidR="003B24D8" w:rsidRDefault="000175D8" w:rsidP="000175D8">
      <w:pPr>
        <w:pStyle w:val="Brdtext"/>
        <w:spacing w:before="107" w:line="264" w:lineRule="auto"/>
        <w:ind w:left="118" w:right="591"/>
      </w:pPr>
      <w:r>
        <w:t xml:space="preserve">During 2024 (in connection with the bond financing), the Company redeemed 50 preference shares of Series B corresponding to a nominal amount of SEK 75 million and at that time accumulated dividends amounting to SEK 17 million. Furthermore, the Company issued a new share issue of a total of 20 </w:t>
      </w:r>
      <w:r w:rsidR="00316EA6">
        <w:t>common</w:t>
      </w:r>
      <w:r>
        <w:t xml:space="preserve"> shares during 2024. The total number of shares in the Company has therefore decreased by a total of 30 shares during 2024.</w:t>
      </w:r>
    </w:p>
    <w:p w14:paraId="670FFA4A" w14:textId="77777777" w:rsidR="00217226" w:rsidRDefault="00217226" w:rsidP="000175D8">
      <w:pPr>
        <w:pStyle w:val="Brdtext"/>
        <w:spacing w:before="107" w:line="264" w:lineRule="auto"/>
        <w:ind w:left="118" w:right="591"/>
      </w:pPr>
    </w:p>
    <w:p w14:paraId="3F1C136C" w14:textId="7A132416" w:rsidR="00217226" w:rsidRDefault="00312CEE" w:rsidP="000175D8">
      <w:pPr>
        <w:pStyle w:val="Brdtext"/>
        <w:spacing w:before="107" w:line="264" w:lineRule="auto"/>
        <w:ind w:left="118" w:right="591"/>
      </w:pPr>
      <w:r w:rsidRPr="00312CEE">
        <w:rPr>
          <w:noProof/>
        </w:rPr>
        <w:drawing>
          <wp:inline distT="0" distB="0" distL="0" distR="0" wp14:anchorId="527C190A" wp14:editId="6CD9C979">
            <wp:extent cx="4248150" cy="771525"/>
            <wp:effectExtent l="0" t="0" r="0" b="9525"/>
            <wp:docPr id="896331755"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48150" cy="771525"/>
                    </a:xfrm>
                    <a:prstGeom prst="rect">
                      <a:avLst/>
                    </a:prstGeom>
                    <a:noFill/>
                    <a:ln>
                      <a:noFill/>
                    </a:ln>
                  </pic:spPr>
                </pic:pic>
              </a:graphicData>
            </a:graphic>
          </wp:inline>
        </w:drawing>
      </w:r>
    </w:p>
    <w:p w14:paraId="7E09A90D" w14:textId="77777777" w:rsidR="003B24D8" w:rsidRPr="006F73DD" w:rsidRDefault="003B24D8" w:rsidP="000175D8">
      <w:pPr>
        <w:pStyle w:val="Brdtext"/>
        <w:spacing w:before="107" w:line="264" w:lineRule="auto"/>
        <w:ind w:left="118" w:right="591"/>
      </w:pPr>
    </w:p>
    <w:p w14:paraId="3C64FF45" w14:textId="4FC4069B" w:rsidR="00987DAC" w:rsidRPr="006F73DD" w:rsidRDefault="00016B4C">
      <w:pPr>
        <w:pStyle w:val="Rubrik5"/>
      </w:pPr>
      <w:r w:rsidRPr="006F73DD">
        <w:t>Note</w:t>
      </w:r>
      <w:r w:rsidRPr="006F73DD">
        <w:rPr>
          <w:spacing w:val="-3"/>
        </w:rPr>
        <w:t xml:space="preserve"> </w:t>
      </w:r>
      <w:r w:rsidRPr="006F73DD">
        <w:t>2</w:t>
      </w:r>
      <w:r w:rsidR="000175D8" w:rsidRPr="006F73DD">
        <w:t>3</w:t>
      </w:r>
      <w:r w:rsidRPr="006F73DD">
        <w:rPr>
          <w:spacing w:val="-5"/>
        </w:rPr>
        <w:t xml:space="preserve"> </w:t>
      </w:r>
      <w:r w:rsidRPr="006F73DD">
        <w:t>Translation</w:t>
      </w:r>
      <w:r w:rsidRPr="006F73DD">
        <w:rPr>
          <w:spacing w:val="-3"/>
        </w:rPr>
        <w:t xml:space="preserve"> </w:t>
      </w:r>
      <w:r w:rsidRPr="006F73DD">
        <w:rPr>
          <w:spacing w:val="-2"/>
        </w:rPr>
        <w:t>reserve</w:t>
      </w:r>
    </w:p>
    <w:p w14:paraId="3C64FF46" w14:textId="18F9BB58" w:rsidR="00987DAC" w:rsidRPr="006F73DD" w:rsidRDefault="00016B4C">
      <w:pPr>
        <w:pStyle w:val="Brdtext"/>
        <w:spacing w:before="107" w:line="264" w:lineRule="auto"/>
        <w:ind w:left="118" w:right="591"/>
      </w:pPr>
      <w:r w:rsidRPr="006F73DD">
        <w:t>Translation</w:t>
      </w:r>
      <w:r w:rsidRPr="006F73DD">
        <w:rPr>
          <w:spacing w:val="-4"/>
        </w:rPr>
        <w:t xml:space="preserve"> </w:t>
      </w:r>
      <w:r w:rsidRPr="006F73DD">
        <w:t>reserves</w:t>
      </w:r>
      <w:r w:rsidRPr="006F73DD">
        <w:rPr>
          <w:spacing w:val="-3"/>
        </w:rPr>
        <w:t xml:space="preserve"> </w:t>
      </w:r>
      <w:r w:rsidRPr="006F73DD">
        <w:t>concern</w:t>
      </w:r>
      <w:r w:rsidRPr="006F73DD">
        <w:rPr>
          <w:spacing w:val="-5"/>
        </w:rPr>
        <w:t xml:space="preserve"> </w:t>
      </w:r>
      <w:r w:rsidRPr="006F73DD">
        <w:t>exchange</w:t>
      </w:r>
      <w:r w:rsidRPr="006F73DD">
        <w:rPr>
          <w:spacing w:val="-4"/>
        </w:rPr>
        <w:t xml:space="preserve"> </w:t>
      </w:r>
      <w:r w:rsidRPr="006F73DD">
        <w:t>differences</w:t>
      </w:r>
      <w:r w:rsidRPr="006F73DD">
        <w:rPr>
          <w:spacing w:val="-3"/>
        </w:rPr>
        <w:t xml:space="preserve"> </w:t>
      </w:r>
      <w:r w:rsidRPr="006F73DD">
        <w:t>when</w:t>
      </w:r>
      <w:r w:rsidRPr="006F73DD">
        <w:rPr>
          <w:spacing w:val="-4"/>
        </w:rPr>
        <w:t xml:space="preserve"> </w:t>
      </w:r>
      <w:r w:rsidRPr="006F73DD">
        <w:t>translating</w:t>
      </w:r>
      <w:r w:rsidRPr="006F73DD">
        <w:rPr>
          <w:spacing w:val="-5"/>
        </w:rPr>
        <w:t xml:space="preserve"> </w:t>
      </w:r>
      <w:r w:rsidRPr="006F73DD">
        <w:t>foreign</w:t>
      </w:r>
      <w:r w:rsidRPr="006F73DD">
        <w:rPr>
          <w:spacing w:val="-5"/>
        </w:rPr>
        <w:t xml:space="preserve"> </w:t>
      </w:r>
      <w:r w:rsidRPr="006F73DD">
        <w:t>operations</w:t>
      </w:r>
      <w:r w:rsidRPr="006F73DD">
        <w:rPr>
          <w:spacing w:val="-4"/>
        </w:rPr>
        <w:t xml:space="preserve"> </w:t>
      </w:r>
      <w:r w:rsidRPr="006F73DD">
        <w:t>into</w:t>
      </w:r>
      <w:r w:rsidRPr="006F73DD">
        <w:rPr>
          <w:spacing w:val="-5"/>
        </w:rPr>
        <w:t xml:space="preserve"> </w:t>
      </w:r>
      <w:r w:rsidRPr="006F73DD">
        <w:t>Swedish</w:t>
      </w:r>
      <w:r w:rsidRPr="006F73DD">
        <w:rPr>
          <w:spacing w:val="-4"/>
        </w:rPr>
        <w:t xml:space="preserve"> </w:t>
      </w:r>
      <w:r w:rsidRPr="006F73DD">
        <w:t>krona (SEK), which are recogni</w:t>
      </w:r>
      <w:r w:rsidR="006F73DD" w:rsidRPr="006F73DD">
        <w:t>z</w:t>
      </w:r>
      <w:r w:rsidRPr="006F73DD">
        <w:t>ed in other comprehensive income.</w:t>
      </w:r>
    </w:p>
    <w:p w14:paraId="0A203FA5" w14:textId="77777777" w:rsidR="008A12E1" w:rsidRDefault="008A12E1">
      <w:pPr>
        <w:rPr>
          <w:sz w:val="18"/>
        </w:rPr>
      </w:pPr>
      <w:r>
        <w:rPr>
          <w:b/>
          <w:bCs/>
          <w:sz w:val="18"/>
        </w:rPr>
        <w:br w:type="page"/>
      </w:r>
    </w:p>
    <w:p w14:paraId="3C64FF48" w14:textId="4180ED66" w:rsidR="00987DAC" w:rsidRPr="00586605" w:rsidRDefault="00016B4C">
      <w:pPr>
        <w:pStyle w:val="Rubrik5"/>
        <w:spacing w:before="102"/>
      </w:pPr>
      <w:r w:rsidRPr="00586605">
        <w:lastRenderedPageBreak/>
        <w:t>Not</w:t>
      </w:r>
      <w:r w:rsidR="007E426E">
        <w:t>e</w:t>
      </w:r>
      <w:r w:rsidRPr="00586605">
        <w:rPr>
          <w:spacing w:val="-5"/>
        </w:rPr>
        <w:t xml:space="preserve"> </w:t>
      </w:r>
      <w:r w:rsidRPr="00586605">
        <w:t>2</w:t>
      </w:r>
      <w:r w:rsidR="006F73DD" w:rsidRPr="00586605">
        <w:t>4</w:t>
      </w:r>
      <w:r w:rsidRPr="00586605">
        <w:rPr>
          <w:spacing w:val="-3"/>
        </w:rPr>
        <w:t xml:space="preserve"> </w:t>
      </w:r>
      <w:r w:rsidRPr="00586605">
        <w:t>Holdings</w:t>
      </w:r>
      <w:r w:rsidRPr="00586605">
        <w:rPr>
          <w:spacing w:val="-4"/>
        </w:rPr>
        <w:t xml:space="preserve"> </w:t>
      </w:r>
      <w:r w:rsidRPr="00586605">
        <w:t>with</w:t>
      </w:r>
      <w:r w:rsidRPr="00586605">
        <w:rPr>
          <w:spacing w:val="-6"/>
        </w:rPr>
        <w:t xml:space="preserve"> </w:t>
      </w:r>
      <w:r w:rsidR="00ED54C6" w:rsidRPr="00586605">
        <w:rPr>
          <w:spacing w:val="-6"/>
        </w:rPr>
        <w:t>non-</w:t>
      </w:r>
      <w:r w:rsidRPr="00586605">
        <w:t>controlling</w:t>
      </w:r>
      <w:r w:rsidRPr="00586605">
        <w:rPr>
          <w:spacing w:val="-4"/>
        </w:rPr>
        <w:t xml:space="preserve"> </w:t>
      </w:r>
      <w:r w:rsidRPr="00586605">
        <w:rPr>
          <w:spacing w:val="-2"/>
        </w:rPr>
        <w:t>interest</w:t>
      </w:r>
    </w:p>
    <w:p w14:paraId="60313242" w14:textId="77777777" w:rsidR="00254A5D" w:rsidRPr="0041195B" w:rsidRDefault="00254A5D" w:rsidP="0041195B">
      <w:pPr>
        <w:pStyle w:val="Liststycke"/>
        <w:tabs>
          <w:tab w:val="left" w:pos="307"/>
        </w:tabs>
        <w:spacing w:before="1" w:line="264" w:lineRule="auto"/>
        <w:ind w:left="118" w:right="581" w:firstLine="0"/>
        <w:rPr>
          <w:sz w:val="18"/>
          <w:szCs w:val="18"/>
          <w:lang w:val="sv-SE"/>
        </w:rPr>
      </w:pPr>
    </w:p>
    <w:p w14:paraId="7A5A3F55" w14:textId="3D2847CB" w:rsidR="00254A5D" w:rsidRPr="00254A5D" w:rsidRDefault="00254A5D" w:rsidP="00586605">
      <w:pPr>
        <w:pStyle w:val="Brdtext"/>
        <w:spacing w:before="107" w:line="264" w:lineRule="auto"/>
        <w:ind w:left="118" w:right="591"/>
        <w:rPr>
          <w:i/>
          <w:iCs/>
        </w:rPr>
      </w:pPr>
      <w:r w:rsidRPr="00254A5D">
        <w:rPr>
          <w:i/>
          <w:iCs/>
        </w:rPr>
        <w:t>Transactions with non-controlling interest</w:t>
      </w:r>
    </w:p>
    <w:p w14:paraId="327B43A7" w14:textId="336DABF8" w:rsidR="00586605" w:rsidRPr="0043069B" w:rsidRDefault="00586605" w:rsidP="0043069B">
      <w:pPr>
        <w:pStyle w:val="Liststycke"/>
        <w:tabs>
          <w:tab w:val="left" w:pos="307"/>
        </w:tabs>
        <w:spacing w:before="1" w:line="264" w:lineRule="auto"/>
        <w:ind w:left="118" w:right="581" w:firstLine="0"/>
        <w:rPr>
          <w:sz w:val="18"/>
          <w:szCs w:val="18"/>
          <w:lang w:val="sv-SE"/>
        </w:rPr>
      </w:pPr>
      <w:r w:rsidRPr="0043069B">
        <w:rPr>
          <w:sz w:val="18"/>
          <w:szCs w:val="18"/>
        </w:rPr>
        <w:t xml:space="preserve">Changes in the parent company’s interest in a subsidiary that do not result in a loss of control are accounted for as equity transactions (i.e. transactions with the owners of the Group). Any difference between the amount by which the non-controlling interest is adjusted and the fair value of the consideration paid or received is </w:t>
      </w:r>
      <w:r w:rsidR="00457D97" w:rsidRPr="0043069B">
        <w:rPr>
          <w:sz w:val="18"/>
          <w:szCs w:val="18"/>
          <w:lang w:val="sv-SE"/>
        </w:rPr>
        <w:t>recognize</w:t>
      </w:r>
      <w:r w:rsidRPr="0043069B">
        <w:rPr>
          <w:sz w:val="18"/>
          <w:szCs w:val="18"/>
          <w:lang w:val="sv-SE"/>
        </w:rPr>
        <w:t>d directly in equity and allocated to the owners of the parent company.</w:t>
      </w:r>
    </w:p>
    <w:p w14:paraId="56F13371" w14:textId="77777777" w:rsidR="00DB7375" w:rsidRPr="0043069B" w:rsidRDefault="00DB7375" w:rsidP="0043069B">
      <w:pPr>
        <w:pStyle w:val="Liststycke"/>
        <w:tabs>
          <w:tab w:val="left" w:pos="307"/>
        </w:tabs>
        <w:spacing w:before="1" w:line="264" w:lineRule="auto"/>
        <w:ind w:left="118" w:right="581" w:firstLine="0"/>
        <w:rPr>
          <w:sz w:val="18"/>
          <w:szCs w:val="18"/>
          <w:lang w:val="sv-SE"/>
        </w:rPr>
      </w:pPr>
    </w:p>
    <w:p w14:paraId="3DDF382F" w14:textId="77777777" w:rsidR="00586605" w:rsidRDefault="00586605" w:rsidP="00586605">
      <w:pPr>
        <w:pStyle w:val="Brdtext"/>
        <w:spacing w:before="107" w:line="264" w:lineRule="auto"/>
        <w:ind w:left="118" w:right="591"/>
      </w:pPr>
      <w:r>
        <w:t>When the parent company loses control of a subsidiary, the gain or loss on disposal is calculated as the difference between</w:t>
      </w:r>
    </w:p>
    <w:p w14:paraId="377B26BC" w14:textId="77777777" w:rsidR="00586605" w:rsidRDefault="00586605" w:rsidP="00586605">
      <w:pPr>
        <w:pStyle w:val="Brdtext"/>
        <w:spacing w:before="107" w:line="264" w:lineRule="auto"/>
        <w:ind w:left="118" w:right="591"/>
      </w:pPr>
      <w:r>
        <w:t>i) the sum of the fair value of the consideration received and the fair value of any remaining interest and</w:t>
      </w:r>
    </w:p>
    <w:p w14:paraId="0A89D4F7" w14:textId="199B4876" w:rsidR="00586605" w:rsidRPr="0043069B" w:rsidRDefault="00586605" w:rsidP="0043069B">
      <w:pPr>
        <w:pStyle w:val="Liststycke"/>
        <w:tabs>
          <w:tab w:val="left" w:pos="307"/>
        </w:tabs>
        <w:spacing w:before="1" w:line="264" w:lineRule="auto"/>
        <w:ind w:left="118" w:right="581" w:firstLine="0"/>
        <w:rPr>
          <w:sz w:val="18"/>
          <w:szCs w:val="18"/>
          <w:lang w:val="sv-SE"/>
        </w:rPr>
      </w:pPr>
      <w:r w:rsidRPr="0043069B">
        <w:rPr>
          <w:sz w:val="18"/>
          <w:szCs w:val="18"/>
        </w:rPr>
        <w:t xml:space="preserve">ii) the previously </w:t>
      </w:r>
      <w:r w:rsidR="00457D97" w:rsidRPr="0043069B">
        <w:rPr>
          <w:sz w:val="18"/>
          <w:szCs w:val="18"/>
        </w:rPr>
        <w:t>recognize</w:t>
      </w:r>
      <w:r w:rsidRPr="0043069B">
        <w:rPr>
          <w:sz w:val="18"/>
          <w:szCs w:val="18"/>
        </w:rPr>
        <w:t>d values of the subsidiary’s assets (including goodwill), and liabilities and any non-</w:t>
      </w:r>
      <w:r w:rsidRPr="0043069B">
        <w:rPr>
          <w:sz w:val="18"/>
          <w:szCs w:val="18"/>
          <w:lang w:val="sv-SE"/>
        </w:rPr>
        <w:t>controlling interest.</w:t>
      </w:r>
    </w:p>
    <w:p w14:paraId="64BBB2F6" w14:textId="77777777" w:rsidR="00586605" w:rsidRPr="0043069B" w:rsidRDefault="00586605" w:rsidP="0043069B">
      <w:pPr>
        <w:pStyle w:val="Liststycke"/>
        <w:tabs>
          <w:tab w:val="left" w:pos="307"/>
        </w:tabs>
        <w:spacing w:before="1" w:line="264" w:lineRule="auto"/>
        <w:ind w:left="118" w:right="581" w:firstLine="0"/>
        <w:rPr>
          <w:sz w:val="18"/>
          <w:lang w:val="sv-SE"/>
        </w:rPr>
      </w:pPr>
    </w:p>
    <w:p w14:paraId="3C64FF86" w14:textId="0FCD8028" w:rsidR="00987DAC" w:rsidRDefault="00586605" w:rsidP="00586605">
      <w:pPr>
        <w:pStyle w:val="Brdtext"/>
        <w:spacing w:before="107" w:line="264" w:lineRule="auto"/>
        <w:ind w:left="118" w:right="591"/>
      </w:pPr>
      <w:r>
        <w:t>The Group has entered into a Share Purchase Agreement (SPA) for the acquisition of the entire company JumpYard Snø AS, where payment is settled in instalments over three years. The last payment is scheduled for May 2025.</w:t>
      </w:r>
    </w:p>
    <w:p w14:paraId="648326D3" w14:textId="77777777" w:rsidR="00072D03" w:rsidRDefault="00072D03" w:rsidP="00586605">
      <w:pPr>
        <w:pStyle w:val="Brdtext"/>
        <w:spacing w:before="107" w:line="264" w:lineRule="auto"/>
        <w:ind w:left="118" w:right="591"/>
      </w:pPr>
    </w:p>
    <w:p w14:paraId="6C8E8E33" w14:textId="2572315E" w:rsidR="00ED486F" w:rsidRDefault="00ED486F" w:rsidP="00ED486F">
      <w:pPr>
        <w:pStyle w:val="Rubrik5"/>
      </w:pPr>
      <w:r w:rsidRPr="00CF4F07">
        <w:t>Note</w:t>
      </w:r>
      <w:r w:rsidRPr="00CF4F07">
        <w:rPr>
          <w:spacing w:val="-5"/>
        </w:rPr>
        <w:t xml:space="preserve"> </w:t>
      </w:r>
      <w:r w:rsidRPr="00CF4F07">
        <w:t>25</w:t>
      </w:r>
      <w:r w:rsidRPr="00CF4F07">
        <w:rPr>
          <w:spacing w:val="-4"/>
        </w:rPr>
        <w:t xml:space="preserve"> </w:t>
      </w:r>
      <w:r w:rsidR="00922B30">
        <w:rPr>
          <w:spacing w:val="-4"/>
        </w:rPr>
        <w:t>O</w:t>
      </w:r>
      <w:r w:rsidR="005534D0">
        <w:t>ther n</w:t>
      </w:r>
      <w:r w:rsidRPr="00CF4F07">
        <w:t>on-current</w:t>
      </w:r>
      <w:r w:rsidRPr="00CF4F07">
        <w:rPr>
          <w:spacing w:val="-6"/>
        </w:rPr>
        <w:t xml:space="preserve"> </w:t>
      </w:r>
      <w:r w:rsidR="00CF4F07" w:rsidRPr="00CF4F07">
        <w:t>liabilities</w:t>
      </w:r>
    </w:p>
    <w:p w14:paraId="18C1F933" w14:textId="77777777" w:rsidR="00E04060" w:rsidRPr="00CF4F07" w:rsidRDefault="00E04060" w:rsidP="00E04060">
      <w:pPr>
        <w:pStyle w:val="Brdtext"/>
        <w:ind w:left="118"/>
      </w:pPr>
    </w:p>
    <w:p w14:paraId="7EB04E66" w14:textId="1A02A2B4" w:rsidR="00CF4F07" w:rsidRPr="00CF4F07" w:rsidRDefault="00E04060" w:rsidP="00ED486F">
      <w:pPr>
        <w:pStyle w:val="Rubrik5"/>
      </w:pPr>
      <w:r w:rsidRPr="00E04060">
        <w:rPr>
          <w:noProof/>
        </w:rPr>
        <w:drawing>
          <wp:inline distT="0" distB="0" distL="0" distR="0" wp14:anchorId="36B84DB5" wp14:editId="55EDAC95">
            <wp:extent cx="6115050" cy="1134745"/>
            <wp:effectExtent l="0" t="0" r="0" b="8255"/>
            <wp:docPr id="47213858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15050" cy="1134745"/>
                    </a:xfrm>
                    <a:prstGeom prst="rect">
                      <a:avLst/>
                    </a:prstGeom>
                    <a:noFill/>
                    <a:ln>
                      <a:noFill/>
                    </a:ln>
                  </pic:spPr>
                </pic:pic>
              </a:graphicData>
            </a:graphic>
          </wp:inline>
        </w:drawing>
      </w:r>
    </w:p>
    <w:p w14:paraId="70DB0532" w14:textId="77777777" w:rsidR="00ED486F" w:rsidRPr="00CF4F07" w:rsidRDefault="00ED486F" w:rsidP="00ED486F">
      <w:pPr>
        <w:pStyle w:val="Brdtext"/>
        <w:spacing w:before="107" w:line="264" w:lineRule="auto"/>
        <w:ind w:left="118" w:right="591"/>
      </w:pPr>
    </w:p>
    <w:p w14:paraId="7179F498" w14:textId="2585D83E" w:rsidR="00B72EF5" w:rsidRPr="00CF4F07" w:rsidRDefault="00B72EF5" w:rsidP="00B72EF5">
      <w:pPr>
        <w:pStyle w:val="Rubrik5"/>
      </w:pPr>
      <w:r w:rsidRPr="00CF4F07">
        <w:t>Note</w:t>
      </w:r>
      <w:r w:rsidRPr="00CF4F07">
        <w:rPr>
          <w:spacing w:val="-5"/>
        </w:rPr>
        <w:t xml:space="preserve"> </w:t>
      </w:r>
      <w:r w:rsidRPr="00CF4F07">
        <w:t>2</w:t>
      </w:r>
      <w:r w:rsidR="009B021A">
        <w:t>6</w:t>
      </w:r>
      <w:r w:rsidRPr="00CF4F07">
        <w:rPr>
          <w:spacing w:val="-4"/>
        </w:rPr>
        <w:t xml:space="preserve"> </w:t>
      </w:r>
      <w:r w:rsidRPr="00CF4F07">
        <w:t>Non-current</w:t>
      </w:r>
      <w:r w:rsidRPr="00CF4F07">
        <w:rPr>
          <w:spacing w:val="-6"/>
        </w:rPr>
        <w:t xml:space="preserve"> </w:t>
      </w:r>
      <w:r>
        <w:rPr>
          <w:spacing w:val="-6"/>
        </w:rPr>
        <w:t xml:space="preserve">and current interest-bearing </w:t>
      </w:r>
      <w:r w:rsidRPr="00CF4F07">
        <w:t>liabilities</w:t>
      </w:r>
    </w:p>
    <w:p w14:paraId="6EA9558A" w14:textId="77777777" w:rsidR="00B72EF5" w:rsidRPr="00CF4F07" w:rsidRDefault="00B72EF5" w:rsidP="007A7A23">
      <w:pPr>
        <w:pStyle w:val="Brdtext"/>
        <w:ind w:left="118"/>
      </w:pPr>
    </w:p>
    <w:p w14:paraId="22375BCD" w14:textId="77777777" w:rsidR="00F367AB" w:rsidRDefault="00B43CC1" w:rsidP="00F367AB">
      <w:pPr>
        <w:pStyle w:val="Brdtext"/>
        <w:spacing w:before="107" w:line="264" w:lineRule="auto"/>
        <w:ind w:left="118" w:right="591"/>
      </w:pPr>
      <w:r w:rsidRPr="00B43CC1">
        <w:rPr>
          <w:noProof/>
        </w:rPr>
        <w:drawing>
          <wp:inline distT="0" distB="0" distL="0" distR="0" wp14:anchorId="3E311278" wp14:editId="5A369E63">
            <wp:extent cx="6115050" cy="2571750"/>
            <wp:effectExtent l="0" t="0" r="0" b="0"/>
            <wp:docPr id="36434186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r w:rsidR="00F47DD9">
        <w:br/>
      </w:r>
      <w:r w:rsidR="00F47DD9" w:rsidRPr="00F47DD9">
        <w:t>See note 4 for a detailed description of the Group's financial liabilities</w:t>
      </w:r>
      <w:r w:rsidR="00F367AB">
        <w:t>.</w:t>
      </w:r>
    </w:p>
    <w:p w14:paraId="21BF9B9B" w14:textId="1E2590F9" w:rsidR="00F47DD9" w:rsidRDefault="00280562" w:rsidP="00F367AB">
      <w:pPr>
        <w:pStyle w:val="Brdtext"/>
        <w:spacing w:before="107" w:line="264" w:lineRule="auto"/>
        <w:ind w:left="118" w:right="591"/>
      </w:pPr>
      <w:r w:rsidRPr="00280562">
        <w:t xml:space="preserve">The company has not at any time </w:t>
      </w:r>
      <w:r>
        <w:t>been in breach of</w:t>
      </w:r>
      <w:r w:rsidRPr="00280562">
        <w:t xml:space="preserve"> the covenants associated with the loans. </w:t>
      </w:r>
      <w:r w:rsidR="00F47DD9" w:rsidRPr="00280562">
        <w:br w:type="page"/>
      </w:r>
    </w:p>
    <w:p w14:paraId="3C64FFDF" w14:textId="77777777" w:rsidR="00987DAC" w:rsidRDefault="00016B4C">
      <w:pPr>
        <w:pStyle w:val="Rubrik5"/>
        <w:rPr>
          <w:spacing w:val="-2"/>
        </w:rPr>
      </w:pPr>
      <w:r w:rsidRPr="00B462C5">
        <w:lastRenderedPageBreak/>
        <w:t>Note</w:t>
      </w:r>
      <w:r w:rsidRPr="00B462C5">
        <w:rPr>
          <w:spacing w:val="-3"/>
        </w:rPr>
        <w:t xml:space="preserve"> </w:t>
      </w:r>
      <w:r w:rsidRPr="00B462C5">
        <w:t>27</w:t>
      </w:r>
      <w:r w:rsidRPr="00B462C5">
        <w:rPr>
          <w:spacing w:val="-3"/>
        </w:rPr>
        <w:t xml:space="preserve"> </w:t>
      </w:r>
      <w:r w:rsidRPr="00B462C5">
        <w:t>Reconciliation</w:t>
      </w:r>
      <w:r w:rsidRPr="00B462C5">
        <w:rPr>
          <w:spacing w:val="-3"/>
        </w:rPr>
        <w:t xml:space="preserve"> </w:t>
      </w:r>
      <w:r w:rsidRPr="00B462C5">
        <w:t>of</w:t>
      </w:r>
      <w:r w:rsidRPr="00B462C5">
        <w:rPr>
          <w:spacing w:val="-4"/>
        </w:rPr>
        <w:t xml:space="preserve"> </w:t>
      </w:r>
      <w:r w:rsidRPr="00B462C5">
        <w:t>liabilities</w:t>
      </w:r>
      <w:r w:rsidRPr="00B462C5">
        <w:rPr>
          <w:spacing w:val="-4"/>
        </w:rPr>
        <w:t xml:space="preserve"> </w:t>
      </w:r>
      <w:r w:rsidRPr="00B462C5">
        <w:t>from</w:t>
      </w:r>
      <w:r w:rsidRPr="00B462C5">
        <w:rPr>
          <w:spacing w:val="-3"/>
        </w:rPr>
        <w:t xml:space="preserve"> </w:t>
      </w:r>
      <w:r w:rsidRPr="00B462C5">
        <w:t>the</w:t>
      </w:r>
      <w:r w:rsidRPr="00B462C5">
        <w:rPr>
          <w:spacing w:val="-4"/>
        </w:rPr>
        <w:t xml:space="preserve"> </w:t>
      </w:r>
      <w:r w:rsidRPr="00B462C5">
        <w:t>financing</w:t>
      </w:r>
      <w:r w:rsidRPr="00B462C5">
        <w:rPr>
          <w:spacing w:val="-5"/>
        </w:rPr>
        <w:t xml:space="preserve"> </w:t>
      </w:r>
      <w:r w:rsidRPr="00B462C5">
        <w:rPr>
          <w:spacing w:val="-2"/>
        </w:rPr>
        <w:t>activities</w:t>
      </w:r>
    </w:p>
    <w:p w14:paraId="5A683CC9" w14:textId="77777777" w:rsidR="00CA426C" w:rsidRPr="00B462C5" w:rsidRDefault="00CA426C" w:rsidP="00CA426C">
      <w:pPr>
        <w:pStyle w:val="Brdtext"/>
        <w:ind w:left="118"/>
      </w:pPr>
    </w:p>
    <w:p w14:paraId="3C64FFE0" w14:textId="268613E7" w:rsidR="00987DAC" w:rsidRPr="004B6477" w:rsidRDefault="00E115C0">
      <w:pPr>
        <w:pStyle w:val="Brdtext"/>
        <w:spacing w:before="4"/>
        <w:rPr>
          <w:sz w:val="20"/>
          <w:szCs w:val="20"/>
        </w:rPr>
      </w:pPr>
      <w:r w:rsidRPr="004B6477">
        <w:rPr>
          <w:sz w:val="20"/>
          <w:szCs w:val="20"/>
        </w:rPr>
        <w:t xml:space="preserve">   </w:t>
      </w:r>
      <w:r w:rsidR="00D81531" w:rsidRPr="00D81531">
        <w:rPr>
          <w:noProof/>
        </w:rPr>
        <w:drawing>
          <wp:inline distT="0" distB="0" distL="0" distR="0" wp14:anchorId="0141F151" wp14:editId="52D9621A">
            <wp:extent cx="5764377" cy="2916906"/>
            <wp:effectExtent l="0" t="0" r="8255" b="0"/>
            <wp:docPr id="116158956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3109" cy="2921325"/>
                    </a:xfrm>
                    <a:prstGeom prst="rect">
                      <a:avLst/>
                    </a:prstGeom>
                    <a:noFill/>
                    <a:ln>
                      <a:noFill/>
                    </a:ln>
                  </pic:spPr>
                </pic:pic>
              </a:graphicData>
            </a:graphic>
          </wp:inline>
        </w:drawing>
      </w:r>
    </w:p>
    <w:p w14:paraId="5DFC48A5" w14:textId="77777777" w:rsidR="004B6477" w:rsidRPr="004B6477" w:rsidRDefault="004B6477">
      <w:pPr>
        <w:pStyle w:val="Brdtext"/>
        <w:spacing w:before="4"/>
        <w:rPr>
          <w:b/>
          <w:sz w:val="20"/>
          <w:szCs w:val="20"/>
        </w:rPr>
      </w:pPr>
    </w:p>
    <w:p w14:paraId="3C650053" w14:textId="539FAD6A" w:rsidR="00987DAC" w:rsidRPr="004B6477" w:rsidRDefault="004B6477">
      <w:pPr>
        <w:pStyle w:val="Liststycke"/>
        <w:numPr>
          <w:ilvl w:val="0"/>
          <w:numId w:val="4"/>
        </w:numPr>
        <w:tabs>
          <w:tab w:val="left" w:pos="328"/>
        </w:tabs>
        <w:spacing w:before="2"/>
        <w:ind w:left="328" w:hanging="210"/>
        <w:rPr>
          <w:sz w:val="18"/>
        </w:rPr>
      </w:pPr>
      <w:r w:rsidRPr="004B6477">
        <w:rPr>
          <w:sz w:val="18"/>
        </w:rPr>
        <w:t xml:space="preserve">Cash flow from financing is the net of the year's loans raised and loan repayments made, see the cash flow statement for gross reporting of the item. </w:t>
      </w:r>
      <w:r w:rsidR="00016B4C" w:rsidRPr="00B462C5">
        <w:rPr>
          <w:sz w:val="18"/>
        </w:rPr>
        <w:t>Non-cash</w:t>
      </w:r>
      <w:r w:rsidR="00016B4C" w:rsidRPr="00B462C5">
        <w:rPr>
          <w:spacing w:val="-10"/>
          <w:sz w:val="18"/>
        </w:rPr>
        <w:t xml:space="preserve"> </w:t>
      </w:r>
      <w:r w:rsidR="00016B4C" w:rsidRPr="00B462C5">
        <w:rPr>
          <w:sz w:val="18"/>
        </w:rPr>
        <w:t>flow</w:t>
      </w:r>
      <w:r w:rsidR="00016B4C" w:rsidRPr="00B462C5">
        <w:rPr>
          <w:spacing w:val="-10"/>
          <w:sz w:val="18"/>
        </w:rPr>
        <w:t xml:space="preserve"> </w:t>
      </w:r>
      <w:r w:rsidR="00016B4C" w:rsidRPr="00B462C5">
        <w:rPr>
          <w:spacing w:val="-2"/>
          <w:sz w:val="18"/>
        </w:rPr>
        <w:t>changes</w:t>
      </w:r>
    </w:p>
    <w:p w14:paraId="538BAF0A" w14:textId="517A485F" w:rsidR="004B6477" w:rsidRPr="00B462C5" w:rsidRDefault="007E7FC7">
      <w:pPr>
        <w:pStyle w:val="Liststycke"/>
        <w:numPr>
          <w:ilvl w:val="0"/>
          <w:numId w:val="4"/>
        </w:numPr>
        <w:tabs>
          <w:tab w:val="left" w:pos="328"/>
        </w:tabs>
        <w:spacing w:before="2"/>
        <w:ind w:left="328" w:hanging="210"/>
        <w:rPr>
          <w:sz w:val="18"/>
        </w:rPr>
      </w:pPr>
      <w:r>
        <w:rPr>
          <w:spacing w:val="-2"/>
          <w:sz w:val="18"/>
        </w:rPr>
        <w:t>Changes without cash flow impact</w:t>
      </w:r>
    </w:p>
    <w:p w14:paraId="3C650055" w14:textId="77777777" w:rsidR="00987DAC" w:rsidRPr="00B462C5" w:rsidRDefault="00987DAC" w:rsidP="0064725D">
      <w:pPr>
        <w:pStyle w:val="Brdtext"/>
        <w:spacing w:before="107" w:line="264" w:lineRule="auto"/>
        <w:ind w:left="118" w:right="591"/>
      </w:pPr>
    </w:p>
    <w:p w14:paraId="2D5068BA" w14:textId="3CC36757" w:rsidR="00A1352A" w:rsidRPr="00BB6000" w:rsidRDefault="00A1352A" w:rsidP="00A1352A">
      <w:pPr>
        <w:pStyle w:val="Rubrik5"/>
      </w:pPr>
      <w:r w:rsidRPr="00BB6000">
        <w:t xml:space="preserve">Note 28 </w:t>
      </w:r>
      <w:r w:rsidR="00BB6000" w:rsidRPr="00BB6000">
        <w:t xml:space="preserve">Other </w:t>
      </w:r>
      <w:r w:rsidRPr="00BB6000">
        <w:t>current liabilities</w:t>
      </w:r>
    </w:p>
    <w:p w14:paraId="12FB5445" w14:textId="77777777" w:rsidR="00A1352A" w:rsidRPr="0064725D" w:rsidRDefault="00A1352A" w:rsidP="00977F82">
      <w:pPr>
        <w:pStyle w:val="Brdtext"/>
        <w:ind w:left="118"/>
      </w:pPr>
    </w:p>
    <w:p w14:paraId="7E9FF8CD" w14:textId="19E77F9E" w:rsidR="00A1352A" w:rsidRPr="0064725D" w:rsidRDefault="00BB6000" w:rsidP="00977F82">
      <w:pPr>
        <w:pStyle w:val="Brdtext"/>
        <w:ind w:left="118"/>
      </w:pPr>
      <w:r w:rsidRPr="00BB6000">
        <w:rPr>
          <w:noProof/>
        </w:rPr>
        <w:drawing>
          <wp:inline distT="0" distB="0" distL="0" distR="0" wp14:anchorId="211ACF29" wp14:editId="380D9368">
            <wp:extent cx="5867400" cy="1088790"/>
            <wp:effectExtent l="0" t="0" r="0" b="0"/>
            <wp:docPr id="468535646"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95956" cy="1094089"/>
                    </a:xfrm>
                    <a:prstGeom prst="rect">
                      <a:avLst/>
                    </a:prstGeom>
                    <a:noFill/>
                    <a:ln>
                      <a:noFill/>
                    </a:ln>
                  </pic:spPr>
                </pic:pic>
              </a:graphicData>
            </a:graphic>
          </wp:inline>
        </w:drawing>
      </w:r>
    </w:p>
    <w:p w14:paraId="0629C1AA" w14:textId="77777777" w:rsidR="00A1352A" w:rsidRPr="0064725D" w:rsidRDefault="00A1352A" w:rsidP="00977F82">
      <w:pPr>
        <w:pStyle w:val="Brdtext"/>
        <w:ind w:left="118"/>
      </w:pPr>
    </w:p>
    <w:p w14:paraId="3C65005A" w14:textId="4F31F344" w:rsidR="00987DAC" w:rsidRPr="00FD231C" w:rsidRDefault="00016B4C">
      <w:pPr>
        <w:pStyle w:val="Rubrik5"/>
      </w:pPr>
      <w:r w:rsidRPr="00FD231C">
        <w:t>Note 2</w:t>
      </w:r>
      <w:r w:rsidR="00A1352A" w:rsidRPr="00FD231C">
        <w:t>9</w:t>
      </w:r>
      <w:r w:rsidRPr="00FD231C">
        <w:t xml:space="preserve"> Accrued expenses and prepaid income</w:t>
      </w:r>
    </w:p>
    <w:p w14:paraId="3C650061" w14:textId="77777777" w:rsidR="00987DAC" w:rsidRPr="00297E5A" w:rsidRDefault="00987DAC" w:rsidP="00977F82">
      <w:pPr>
        <w:pStyle w:val="Brdtext"/>
        <w:ind w:left="118"/>
      </w:pPr>
    </w:p>
    <w:p w14:paraId="3C650078" w14:textId="0BEE1445" w:rsidR="00987DAC" w:rsidRPr="0064725D" w:rsidRDefault="00FD231C" w:rsidP="0064725D">
      <w:pPr>
        <w:pStyle w:val="Brdtext"/>
        <w:spacing w:before="107" w:line="264" w:lineRule="auto"/>
        <w:ind w:left="118" w:right="591"/>
      </w:pPr>
      <w:r w:rsidRPr="00FD231C">
        <w:rPr>
          <w:noProof/>
        </w:rPr>
        <w:drawing>
          <wp:inline distT="0" distB="0" distL="0" distR="0" wp14:anchorId="13E880CC" wp14:editId="00585C84">
            <wp:extent cx="5848350" cy="1265017"/>
            <wp:effectExtent l="0" t="0" r="0" b="0"/>
            <wp:docPr id="1018561645"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58309" cy="1267171"/>
                    </a:xfrm>
                    <a:prstGeom prst="rect">
                      <a:avLst/>
                    </a:prstGeom>
                    <a:noFill/>
                    <a:ln>
                      <a:noFill/>
                    </a:ln>
                  </pic:spPr>
                </pic:pic>
              </a:graphicData>
            </a:graphic>
          </wp:inline>
        </w:drawing>
      </w:r>
    </w:p>
    <w:p w14:paraId="43EEFF1A" w14:textId="77777777" w:rsidR="00A0543B" w:rsidRDefault="00A0543B">
      <w:pPr>
        <w:rPr>
          <w:sz w:val="18"/>
          <w:szCs w:val="18"/>
        </w:rPr>
      </w:pPr>
      <w:r>
        <w:rPr>
          <w:b/>
          <w:bCs/>
          <w:sz w:val="18"/>
          <w:szCs w:val="18"/>
        </w:rPr>
        <w:br w:type="page"/>
      </w:r>
    </w:p>
    <w:p w14:paraId="3C65007B" w14:textId="20C51623" w:rsidR="00987DAC" w:rsidRPr="00A0543B" w:rsidRDefault="00016B4C">
      <w:pPr>
        <w:pStyle w:val="Rubrik5"/>
        <w:spacing w:before="1"/>
      </w:pPr>
      <w:r w:rsidRPr="00A0543B">
        <w:lastRenderedPageBreak/>
        <w:t>Note</w:t>
      </w:r>
      <w:r w:rsidRPr="00A0543B">
        <w:rPr>
          <w:spacing w:val="-2"/>
        </w:rPr>
        <w:t xml:space="preserve"> </w:t>
      </w:r>
      <w:r w:rsidR="00A1352A" w:rsidRPr="00A0543B">
        <w:t>30</w:t>
      </w:r>
      <w:r w:rsidRPr="00A0543B">
        <w:rPr>
          <w:spacing w:val="-2"/>
        </w:rPr>
        <w:t xml:space="preserve"> </w:t>
      </w:r>
      <w:r w:rsidRPr="00A0543B">
        <w:t>Pledged</w:t>
      </w:r>
      <w:r w:rsidRPr="00A0543B">
        <w:rPr>
          <w:spacing w:val="-5"/>
        </w:rPr>
        <w:t xml:space="preserve"> </w:t>
      </w:r>
      <w:r w:rsidRPr="00A0543B">
        <w:t>assets</w:t>
      </w:r>
      <w:r w:rsidRPr="00A0543B">
        <w:rPr>
          <w:spacing w:val="-3"/>
        </w:rPr>
        <w:t xml:space="preserve"> </w:t>
      </w:r>
      <w:r w:rsidRPr="00A0543B">
        <w:t>and</w:t>
      </w:r>
      <w:r w:rsidRPr="00A0543B">
        <w:rPr>
          <w:spacing w:val="-3"/>
        </w:rPr>
        <w:t xml:space="preserve"> </w:t>
      </w:r>
      <w:r w:rsidRPr="00A0543B">
        <w:t>contingent</w:t>
      </w:r>
      <w:r w:rsidRPr="00A0543B">
        <w:rPr>
          <w:spacing w:val="-3"/>
        </w:rPr>
        <w:t xml:space="preserve"> </w:t>
      </w:r>
      <w:r w:rsidRPr="00A0543B">
        <w:rPr>
          <w:spacing w:val="-2"/>
        </w:rPr>
        <w:t>liabilities</w:t>
      </w:r>
    </w:p>
    <w:p w14:paraId="3C65007C" w14:textId="77777777" w:rsidR="00987DAC" w:rsidRPr="00836B02" w:rsidRDefault="00987DAC" w:rsidP="00836B02">
      <w:pPr>
        <w:pStyle w:val="Rubrik5"/>
        <w:rPr>
          <w:sz w:val="18"/>
          <w:szCs w:val="18"/>
        </w:rPr>
      </w:pPr>
    </w:p>
    <w:p w14:paraId="3C650166" w14:textId="5073F3EF" w:rsidR="00987DAC" w:rsidRDefault="00A0543B" w:rsidP="0064725D">
      <w:pPr>
        <w:pStyle w:val="Brdtext"/>
        <w:spacing w:before="107" w:line="264" w:lineRule="auto"/>
        <w:ind w:left="118" w:right="591"/>
      </w:pPr>
      <w:r w:rsidRPr="00A0543B">
        <w:rPr>
          <w:noProof/>
        </w:rPr>
        <w:drawing>
          <wp:inline distT="0" distB="0" distL="0" distR="0" wp14:anchorId="58782364" wp14:editId="196669FD">
            <wp:extent cx="6115050" cy="2260600"/>
            <wp:effectExtent l="0" t="0" r="0" b="6350"/>
            <wp:docPr id="129250374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5050" cy="2260600"/>
                    </a:xfrm>
                    <a:prstGeom prst="rect">
                      <a:avLst/>
                    </a:prstGeom>
                    <a:noFill/>
                    <a:ln>
                      <a:noFill/>
                    </a:ln>
                  </pic:spPr>
                </pic:pic>
              </a:graphicData>
            </a:graphic>
          </wp:inline>
        </w:drawing>
      </w:r>
    </w:p>
    <w:p w14:paraId="289EF87E" w14:textId="77777777" w:rsidR="007533E3" w:rsidRDefault="007533E3" w:rsidP="007533E3">
      <w:pPr>
        <w:pStyle w:val="Brdtext"/>
        <w:spacing w:before="107" w:line="264" w:lineRule="auto"/>
        <w:ind w:left="118" w:right="591"/>
      </w:pPr>
      <w:r>
        <w:t>In connection with the company's bond issue, the existing pledges were released and new pledges, in the form of pledges in shares in subsidiaries, pledges in corporate mortgages and pledges in intra-group receivables, were made in favor of the bondholders and credit institutions, according to the new bond terms and conditions and the terms of the group's credit facility with Nordea.</w:t>
      </w:r>
    </w:p>
    <w:p w14:paraId="75AFD508" w14:textId="2D8524B1" w:rsidR="007533E3" w:rsidRDefault="00FF279A" w:rsidP="007533E3">
      <w:pPr>
        <w:pStyle w:val="Brdtext"/>
        <w:spacing w:before="107" w:line="264" w:lineRule="auto"/>
        <w:ind w:left="118" w:right="591"/>
      </w:pPr>
      <w:r>
        <w:t>A</w:t>
      </w:r>
      <w:r w:rsidR="007533E3">
        <w:t xml:space="preserve"> parent company guarantee has been provided by the group parent for the majority of the subsidiaries' lease agreements regarding leased premises. Guarantee commitments in this regard are in most cases limited to one year's rent, but a number of lease agreements are guaranteed "as if for own debt" and the guarantee then covers all rental payments during the entire lease period.</w:t>
      </w:r>
    </w:p>
    <w:p w14:paraId="1A616CE9" w14:textId="758C9D3F" w:rsidR="007533E3" w:rsidRPr="00A0543B" w:rsidRDefault="007533E3" w:rsidP="007533E3">
      <w:pPr>
        <w:pStyle w:val="Brdtext"/>
        <w:spacing w:before="107" w:line="264" w:lineRule="auto"/>
        <w:ind w:left="118" w:right="591"/>
      </w:pPr>
      <w:r>
        <w:t>A capital adequacy guarantee has been provided by JY Group AB for the subsidiaries Airhop AB, JumpYard Helsingborg AB and JumpYard Danmark ApS of SEK 10 million per company</w:t>
      </w:r>
    </w:p>
    <w:p w14:paraId="647AB8F8" w14:textId="77777777" w:rsidR="00A0543B" w:rsidRPr="0064725D" w:rsidRDefault="00A0543B" w:rsidP="0064725D">
      <w:pPr>
        <w:pStyle w:val="Brdtext"/>
        <w:spacing w:before="107" w:line="264" w:lineRule="auto"/>
        <w:ind w:left="118" w:right="591"/>
      </w:pPr>
    </w:p>
    <w:p w14:paraId="1D4DA724" w14:textId="6F66AD2C" w:rsidR="000744DC" w:rsidRDefault="00016B4C" w:rsidP="001A218F">
      <w:pPr>
        <w:pStyle w:val="Rubrik5"/>
        <w:rPr>
          <w:spacing w:val="-2"/>
        </w:rPr>
      </w:pPr>
      <w:r w:rsidRPr="0064725D">
        <w:t>Note</w:t>
      </w:r>
      <w:r w:rsidRPr="0064725D">
        <w:rPr>
          <w:spacing w:val="-3"/>
        </w:rPr>
        <w:t xml:space="preserve"> </w:t>
      </w:r>
      <w:r w:rsidRPr="0064725D">
        <w:t>31</w:t>
      </w:r>
      <w:r w:rsidRPr="0064725D">
        <w:rPr>
          <w:spacing w:val="-5"/>
        </w:rPr>
        <w:t xml:space="preserve"> </w:t>
      </w:r>
      <w:r w:rsidRPr="0064725D">
        <w:t>Transactions</w:t>
      </w:r>
      <w:r w:rsidRPr="0064725D">
        <w:rPr>
          <w:spacing w:val="-7"/>
        </w:rPr>
        <w:t xml:space="preserve"> </w:t>
      </w:r>
      <w:r w:rsidRPr="0064725D">
        <w:t>with</w:t>
      </w:r>
      <w:r w:rsidRPr="0064725D">
        <w:rPr>
          <w:spacing w:val="-3"/>
        </w:rPr>
        <w:t xml:space="preserve"> </w:t>
      </w:r>
      <w:r w:rsidR="000744DC" w:rsidRPr="0064725D">
        <w:rPr>
          <w:spacing w:val="-2"/>
        </w:rPr>
        <w:t>related parties</w:t>
      </w:r>
    </w:p>
    <w:p w14:paraId="2E9B1855" w14:textId="77777777" w:rsidR="001A218F" w:rsidRPr="001A218F" w:rsidRDefault="001A218F" w:rsidP="001A218F">
      <w:pPr>
        <w:pStyle w:val="Rubrik5"/>
        <w:rPr>
          <w:sz w:val="18"/>
          <w:szCs w:val="18"/>
        </w:rPr>
      </w:pPr>
    </w:p>
    <w:p w14:paraId="3C6501A0" w14:textId="79E4BA0F" w:rsidR="001A218F" w:rsidRDefault="001A218F" w:rsidP="0064725D">
      <w:pPr>
        <w:pStyle w:val="Brdtext"/>
        <w:spacing w:before="107" w:line="264" w:lineRule="auto"/>
        <w:ind w:left="118" w:right="591"/>
      </w:pPr>
      <w:r w:rsidRPr="001A218F">
        <w:t>The Group has transactions with related parties in the form of salaries and remuneration, see</w:t>
      </w:r>
      <w:r w:rsidR="0019211D">
        <w:t xml:space="preserve"> n</w:t>
      </w:r>
      <w:r w:rsidRPr="001A218F">
        <w:t>ote 10. Transactions have occurred with the company Matdistri</w:t>
      </w:r>
      <w:r w:rsidR="00A9521E">
        <w:t>ktet</w:t>
      </w:r>
      <w:r w:rsidRPr="001A218F">
        <w:t xml:space="preserve"> AB, which is owned by Lars Henrik Hermansson and Bob Åke Magnus Pålsson. These transactions have been of minor amounts and have not been deemed material to the overall financial statements.</w:t>
      </w:r>
    </w:p>
    <w:p w14:paraId="60DC09C0" w14:textId="77777777" w:rsidR="00B53EDD" w:rsidRDefault="00B53EDD">
      <w:pPr>
        <w:rPr>
          <w:sz w:val="18"/>
          <w:szCs w:val="18"/>
        </w:rPr>
      </w:pPr>
      <w:r>
        <w:rPr>
          <w:b/>
          <w:bCs/>
          <w:sz w:val="18"/>
          <w:szCs w:val="18"/>
        </w:rPr>
        <w:br w:type="page"/>
      </w:r>
    </w:p>
    <w:p w14:paraId="19C7495B" w14:textId="250C3864" w:rsidR="0064725D" w:rsidRDefault="0064725D" w:rsidP="0064725D">
      <w:pPr>
        <w:pStyle w:val="Rubrik5"/>
        <w:rPr>
          <w:spacing w:val="-2"/>
        </w:rPr>
      </w:pPr>
      <w:r w:rsidRPr="0064725D">
        <w:lastRenderedPageBreak/>
        <w:t>Note 32 The</w:t>
      </w:r>
      <w:r w:rsidRPr="0064725D">
        <w:rPr>
          <w:spacing w:val="-8"/>
        </w:rPr>
        <w:t xml:space="preserve"> </w:t>
      </w:r>
      <w:r w:rsidRPr="0064725D">
        <w:t>Group's</w:t>
      </w:r>
      <w:r w:rsidRPr="0064725D">
        <w:rPr>
          <w:spacing w:val="-6"/>
        </w:rPr>
        <w:t xml:space="preserve"> </w:t>
      </w:r>
      <w:r w:rsidRPr="0064725D">
        <w:t>alternative</w:t>
      </w:r>
      <w:r w:rsidRPr="0064725D">
        <w:rPr>
          <w:spacing w:val="-5"/>
        </w:rPr>
        <w:t xml:space="preserve"> </w:t>
      </w:r>
      <w:r w:rsidRPr="0064725D">
        <w:t>performance</w:t>
      </w:r>
      <w:r w:rsidRPr="0064725D">
        <w:rPr>
          <w:spacing w:val="-5"/>
        </w:rPr>
        <w:t xml:space="preserve"> </w:t>
      </w:r>
      <w:r w:rsidRPr="0064725D">
        <w:rPr>
          <w:spacing w:val="-2"/>
        </w:rPr>
        <w:t>measures</w:t>
      </w:r>
    </w:p>
    <w:p w14:paraId="6C8DA8EA" w14:textId="77777777" w:rsidR="008B5B2D" w:rsidRPr="008B5B2D" w:rsidRDefault="008B5B2D" w:rsidP="0064725D">
      <w:pPr>
        <w:pStyle w:val="Rubrik5"/>
        <w:rPr>
          <w:sz w:val="18"/>
          <w:szCs w:val="18"/>
        </w:rPr>
      </w:pPr>
    </w:p>
    <w:p w14:paraId="1CB174D4" w14:textId="18743196" w:rsidR="00FC6C88" w:rsidRDefault="00FC6C88" w:rsidP="006E420A">
      <w:pPr>
        <w:pStyle w:val="Brdtext"/>
        <w:spacing w:line="264" w:lineRule="auto"/>
        <w:ind w:left="118" w:right="273"/>
        <w:rPr>
          <w:lang w:val="sv-SE"/>
        </w:rPr>
      </w:pPr>
      <w:r w:rsidRPr="009E03B1">
        <w:rPr>
          <w:lang w:val="sv-SE"/>
        </w:rPr>
        <w:t>JumpYard applies the guidelines for alternative performance measures issued by ESMA (The European Securities and Markets Authority). An alternative performance measure is a financial measure of historical or future performance, financial position or cash flow that is not defined or specified in IFRS.</w:t>
      </w:r>
    </w:p>
    <w:p w14:paraId="3C2B3574" w14:textId="77777777" w:rsidR="00C605A2" w:rsidRPr="00453C55" w:rsidRDefault="00C605A2" w:rsidP="006E420A">
      <w:pPr>
        <w:pStyle w:val="Brdtext"/>
        <w:spacing w:line="264" w:lineRule="auto"/>
        <w:ind w:left="118" w:right="273"/>
        <w:rPr>
          <w:lang w:val="sv-SE"/>
        </w:rPr>
      </w:pPr>
    </w:p>
    <w:p w14:paraId="5EDBB31E" w14:textId="77777777" w:rsidR="00FC6C88" w:rsidRPr="006E420A" w:rsidRDefault="00FC6C88" w:rsidP="006E420A">
      <w:pPr>
        <w:pStyle w:val="Brdtext"/>
        <w:spacing w:line="264" w:lineRule="auto"/>
        <w:ind w:left="118" w:right="273"/>
        <w:rPr>
          <w:lang w:val="sv-SE"/>
        </w:rPr>
      </w:pPr>
      <w:r>
        <w:t xml:space="preserve">The alternative performance measures are used by management in the internal evaluation of the ongoing operations and as a measure in forecasting and budgeting, as well as by analysts. These performance </w:t>
      </w:r>
      <w:r w:rsidRPr="006E420A">
        <w:rPr>
          <w:lang w:val="sv-SE"/>
        </w:rPr>
        <w:t>measures should be seen as a complement to measures defined in accordance with IFRS.</w:t>
      </w:r>
    </w:p>
    <w:p w14:paraId="2D737864" w14:textId="77777777" w:rsidR="00FC6C88" w:rsidRPr="006E420A" w:rsidRDefault="00FC6C88" w:rsidP="006E420A">
      <w:pPr>
        <w:pStyle w:val="Brdtext"/>
        <w:spacing w:line="264" w:lineRule="auto"/>
        <w:ind w:left="118" w:right="273"/>
        <w:rPr>
          <w:lang w:val="sv-SE"/>
        </w:rPr>
      </w:pPr>
    </w:p>
    <w:p w14:paraId="1B0AA649" w14:textId="41DE5CC9" w:rsidR="0064725D" w:rsidRDefault="00FC6C88" w:rsidP="006E420A">
      <w:pPr>
        <w:pStyle w:val="Brdtext"/>
        <w:spacing w:line="264" w:lineRule="auto"/>
        <w:ind w:left="118" w:right="273"/>
        <w:rPr>
          <w:lang w:val="sv-SE"/>
        </w:rPr>
      </w:pPr>
      <w:r>
        <w:t xml:space="preserve">The definitions of the measures are intended to measure JumpYard's operations and may therefore differ from how other companies calculate similar measures. The definitions and justifications for the alternative </w:t>
      </w:r>
      <w:r w:rsidRPr="006E420A">
        <w:rPr>
          <w:lang w:val="sv-SE"/>
        </w:rPr>
        <w:t>performance measures are set out below:</w:t>
      </w:r>
    </w:p>
    <w:p w14:paraId="47C3E630" w14:textId="77777777" w:rsidR="00CA1BE6" w:rsidRPr="006E420A" w:rsidRDefault="00CA1BE6" w:rsidP="006E420A">
      <w:pPr>
        <w:pStyle w:val="Brdtext"/>
        <w:spacing w:line="264" w:lineRule="auto"/>
        <w:ind w:left="118" w:right="273"/>
        <w:rPr>
          <w:lang w:val="sv-SE"/>
        </w:rPr>
      </w:pPr>
    </w:p>
    <w:p w14:paraId="67C5CB38" w14:textId="2184C29F" w:rsidR="0064725D" w:rsidRPr="006E420A" w:rsidRDefault="00CA1BE6" w:rsidP="006E420A">
      <w:pPr>
        <w:pStyle w:val="Brdtext"/>
        <w:spacing w:line="264" w:lineRule="auto"/>
        <w:ind w:left="118" w:right="273"/>
        <w:rPr>
          <w:lang w:val="sv-SE"/>
        </w:rPr>
      </w:pPr>
      <w:r w:rsidRPr="00CA1BE6">
        <w:rPr>
          <w:noProof/>
        </w:rPr>
        <w:drawing>
          <wp:inline distT="0" distB="0" distL="0" distR="0" wp14:anchorId="4A542409" wp14:editId="2639B3DF">
            <wp:extent cx="5734050" cy="3771900"/>
            <wp:effectExtent l="0" t="0" r="0" b="0"/>
            <wp:docPr id="869018596"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4050" cy="3771900"/>
                    </a:xfrm>
                    <a:prstGeom prst="rect">
                      <a:avLst/>
                    </a:prstGeom>
                    <a:noFill/>
                    <a:ln>
                      <a:noFill/>
                    </a:ln>
                  </pic:spPr>
                </pic:pic>
              </a:graphicData>
            </a:graphic>
          </wp:inline>
        </w:drawing>
      </w:r>
    </w:p>
    <w:p w14:paraId="5CD44548" w14:textId="4EE92ECE" w:rsidR="00E558FB" w:rsidRDefault="003F0C49" w:rsidP="00E558FB">
      <w:pPr>
        <w:pStyle w:val="Brdtext"/>
        <w:spacing w:before="107" w:line="264" w:lineRule="auto"/>
        <w:ind w:left="118" w:right="591"/>
      </w:pPr>
      <w:r w:rsidRPr="003F0C49">
        <w:t>Non-recurring items refer to items that are not directly related to the Group's normal operations, such as transaction costs, integration costs, restructuring costs and capital gains from the sale of operations.</w:t>
      </w:r>
    </w:p>
    <w:p w14:paraId="7E3183A2" w14:textId="0EB63839" w:rsidR="00BD4992" w:rsidRDefault="00BD4992">
      <w:pPr>
        <w:rPr>
          <w:sz w:val="18"/>
          <w:szCs w:val="18"/>
        </w:rPr>
      </w:pPr>
      <w:r>
        <w:br w:type="page"/>
      </w:r>
    </w:p>
    <w:p w14:paraId="58D3FEA0" w14:textId="3E4D400A" w:rsidR="00410FD5" w:rsidRDefault="00467E3E" w:rsidP="00410FD5">
      <w:pPr>
        <w:pStyle w:val="Rubrik5"/>
      </w:pPr>
      <w:r>
        <w:lastRenderedPageBreak/>
        <w:t>Reconciliation of the Groups’ alternative performance measures</w:t>
      </w:r>
    </w:p>
    <w:p w14:paraId="2DF506CC" w14:textId="77777777" w:rsidR="00467E3E" w:rsidRPr="008B5B2D" w:rsidRDefault="00467E3E" w:rsidP="00410FD5">
      <w:pPr>
        <w:pStyle w:val="Rubrik5"/>
        <w:rPr>
          <w:sz w:val="18"/>
          <w:szCs w:val="18"/>
        </w:rPr>
      </w:pPr>
    </w:p>
    <w:p w14:paraId="4BCEBEA9" w14:textId="019E7F16" w:rsidR="00410FD5" w:rsidRDefault="00D06249" w:rsidP="00410FD5">
      <w:pPr>
        <w:pStyle w:val="Rubrik5"/>
        <w:rPr>
          <w:sz w:val="18"/>
          <w:szCs w:val="18"/>
        </w:rPr>
      </w:pPr>
      <w:r w:rsidRPr="00D06249">
        <w:rPr>
          <w:noProof/>
        </w:rPr>
        <w:drawing>
          <wp:inline distT="0" distB="0" distL="0" distR="0" wp14:anchorId="2C2479CA" wp14:editId="30AD40DF">
            <wp:extent cx="5362575" cy="3343275"/>
            <wp:effectExtent l="0" t="0" r="9525" b="0"/>
            <wp:docPr id="315768334"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62575" cy="3343275"/>
                    </a:xfrm>
                    <a:prstGeom prst="rect">
                      <a:avLst/>
                    </a:prstGeom>
                    <a:noFill/>
                    <a:ln>
                      <a:noFill/>
                    </a:ln>
                  </pic:spPr>
                </pic:pic>
              </a:graphicData>
            </a:graphic>
          </wp:inline>
        </w:drawing>
      </w:r>
    </w:p>
    <w:p w14:paraId="0C2D9018" w14:textId="77777777" w:rsidR="00A64A29" w:rsidRDefault="00A64A29" w:rsidP="00410FD5">
      <w:pPr>
        <w:pStyle w:val="Rubrik5"/>
        <w:rPr>
          <w:sz w:val="18"/>
          <w:szCs w:val="18"/>
        </w:rPr>
      </w:pPr>
    </w:p>
    <w:p w14:paraId="3C6501A1" w14:textId="7BBA44C7" w:rsidR="00987DAC" w:rsidRPr="000D51E7" w:rsidRDefault="00016B4C" w:rsidP="000D51E7">
      <w:pPr>
        <w:pStyle w:val="Rubrik5"/>
        <w:rPr>
          <w:lang w:val="sv-SE"/>
        </w:rPr>
      </w:pPr>
      <w:r w:rsidRPr="000D51E7">
        <w:rPr>
          <w:lang w:val="sv-SE"/>
        </w:rPr>
        <w:t>Note 3</w:t>
      </w:r>
      <w:r w:rsidR="0064725D" w:rsidRPr="000D51E7">
        <w:rPr>
          <w:lang w:val="sv-SE"/>
        </w:rPr>
        <w:t>3</w:t>
      </w:r>
      <w:r w:rsidRPr="000D51E7">
        <w:rPr>
          <w:lang w:val="sv-SE"/>
        </w:rPr>
        <w:t xml:space="preserve"> Events after the balance-sheet date</w:t>
      </w:r>
      <w:r w:rsidR="00C82283" w:rsidRPr="000D51E7">
        <w:rPr>
          <w:lang w:val="sv-SE"/>
        </w:rPr>
        <w:br/>
      </w:r>
    </w:p>
    <w:p w14:paraId="4F106F2D" w14:textId="55011384" w:rsidR="00CD21E7" w:rsidRPr="00C82283" w:rsidRDefault="00B726CA" w:rsidP="00C82283">
      <w:pPr>
        <w:pStyle w:val="Liststycke"/>
        <w:widowControl/>
        <w:numPr>
          <w:ilvl w:val="0"/>
          <w:numId w:val="14"/>
        </w:numPr>
        <w:autoSpaceDE/>
        <w:autoSpaceDN/>
        <w:spacing w:before="0" w:after="160" w:line="278" w:lineRule="auto"/>
        <w:ind w:left="720"/>
        <w:contextualSpacing/>
        <w:jc w:val="both"/>
        <w:rPr>
          <w:sz w:val="18"/>
          <w:szCs w:val="18"/>
          <w:lang w:val="sv-SE"/>
        </w:rPr>
      </w:pPr>
      <w:r w:rsidRPr="00C82283">
        <w:rPr>
          <w:sz w:val="18"/>
          <w:szCs w:val="18"/>
          <w:lang w:val="sv-SE"/>
        </w:rPr>
        <w:t>Signing of JumpYard Hamburg with expected launch in the second half of 2026</w:t>
      </w:r>
    </w:p>
    <w:p w14:paraId="05A21036" w14:textId="32EDA1F2" w:rsidR="00B726CA" w:rsidRPr="00C82283" w:rsidRDefault="00B726CA" w:rsidP="00C82283">
      <w:pPr>
        <w:pStyle w:val="Liststycke"/>
        <w:widowControl/>
        <w:numPr>
          <w:ilvl w:val="0"/>
          <w:numId w:val="14"/>
        </w:numPr>
        <w:autoSpaceDE/>
        <w:autoSpaceDN/>
        <w:spacing w:before="0" w:after="160" w:line="278" w:lineRule="auto"/>
        <w:ind w:left="720"/>
        <w:contextualSpacing/>
        <w:jc w:val="both"/>
        <w:rPr>
          <w:sz w:val="18"/>
          <w:szCs w:val="18"/>
          <w:lang w:val="sv-SE"/>
        </w:rPr>
      </w:pPr>
      <w:r w:rsidRPr="00C82283">
        <w:rPr>
          <w:sz w:val="18"/>
          <w:szCs w:val="18"/>
          <w:lang w:val="sv-SE"/>
        </w:rPr>
        <w:t>Signing of Göteborg Hovås with expected launch in 2025 (for limited investment)</w:t>
      </w:r>
    </w:p>
    <w:p w14:paraId="4F2D6D66" w14:textId="4DC440BB" w:rsidR="00B726CA" w:rsidRPr="00C82283" w:rsidRDefault="008F20F3" w:rsidP="00C82283">
      <w:pPr>
        <w:pStyle w:val="Liststycke"/>
        <w:widowControl/>
        <w:numPr>
          <w:ilvl w:val="0"/>
          <w:numId w:val="14"/>
        </w:numPr>
        <w:autoSpaceDE/>
        <w:autoSpaceDN/>
        <w:spacing w:before="0" w:after="160" w:line="278" w:lineRule="auto"/>
        <w:ind w:left="720"/>
        <w:contextualSpacing/>
        <w:jc w:val="both"/>
        <w:rPr>
          <w:sz w:val="18"/>
          <w:szCs w:val="18"/>
          <w:lang w:val="sv-SE"/>
        </w:rPr>
      </w:pPr>
      <w:r w:rsidRPr="00C82283">
        <w:rPr>
          <w:sz w:val="18"/>
          <w:szCs w:val="18"/>
          <w:lang w:val="sv-SE"/>
        </w:rPr>
        <w:t>Relaunch of JumpYard Valencia</w:t>
      </w:r>
    </w:p>
    <w:p w14:paraId="44D69AB3" w14:textId="77777777" w:rsidR="00CD21E7" w:rsidRPr="008F20F3" w:rsidRDefault="00CD21E7">
      <w:pPr>
        <w:pStyle w:val="Rubrik5"/>
        <w:spacing w:before="1"/>
      </w:pPr>
    </w:p>
    <w:p w14:paraId="3C6501A5" w14:textId="77777777" w:rsidR="00987DAC" w:rsidRPr="008F20F3" w:rsidRDefault="00987DAC">
      <w:pPr>
        <w:sectPr w:rsidR="00987DAC" w:rsidRPr="008F20F3">
          <w:footerReference w:type="default" r:id="rId63"/>
          <w:pgSz w:w="11910" w:h="16840"/>
          <w:pgMar w:top="1420" w:right="980" w:bottom="900" w:left="1300" w:header="512" w:footer="719" w:gutter="0"/>
          <w:cols w:space="720"/>
        </w:sectPr>
      </w:pPr>
    </w:p>
    <w:p w14:paraId="3C65023D" w14:textId="42CF460C" w:rsidR="00987DAC" w:rsidRPr="00CE202C" w:rsidRDefault="00016B4C">
      <w:pPr>
        <w:pStyle w:val="Rubrik2"/>
        <w:rPr>
          <w:sz w:val="18"/>
          <w:szCs w:val="18"/>
        </w:rPr>
      </w:pPr>
      <w:bookmarkStart w:id="6" w:name="_TOC_250005"/>
      <w:r w:rsidRPr="00755B9D">
        <w:rPr>
          <w:sz w:val="36"/>
          <w:szCs w:val="36"/>
        </w:rPr>
        <w:lastRenderedPageBreak/>
        <w:t>The</w:t>
      </w:r>
      <w:r w:rsidRPr="00755B9D">
        <w:rPr>
          <w:spacing w:val="-16"/>
          <w:sz w:val="36"/>
          <w:szCs w:val="36"/>
        </w:rPr>
        <w:t xml:space="preserve"> </w:t>
      </w:r>
      <w:r w:rsidRPr="00755B9D">
        <w:rPr>
          <w:sz w:val="36"/>
          <w:szCs w:val="36"/>
        </w:rPr>
        <w:t>parent</w:t>
      </w:r>
      <w:r w:rsidRPr="00755B9D">
        <w:rPr>
          <w:spacing w:val="-18"/>
          <w:sz w:val="36"/>
          <w:szCs w:val="36"/>
        </w:rPr>
        <w:t xml:space="preserve"> </w:t>
      </w:r>
      <w:r w:rsidRPr="00755B9D">
        <w:rPr>
          <w:sz w:val="36"/>
          <w:szCs w:val="36"/>
        </w:rPr>
        <w:t>company’s</w:t>
      </w:r>
      <w:r w:rsidRPr="00755B9D">
        <w:rPr>
          <w:spacing w:val="-15"/>
          <w:sz w:val="36"/>
          <w:szCs w:val="36"/>
        </w:rPr>
        <w:t xml:space="preserve"> </w:t>
      </w:r>
      <w:r w:rsidRPr="00755B9D">
        <w:rPr>
          <w:sz w:val="36"/>
          <w:szCs w:val="36"/>
        </w:rPr>
        <w:t>income</w:t>
      </w:r>
      <w:r w:rsidRPr="00755B9D">
        <w:rPr>
          <w:spacing w:val="-15"/>
          <w:sz w:val="36"/>
          <w:szCs w:val="36"/>
        </w:rPr>
        <w:t xml:space="preserve"> </w:t>
      </w:r>
      <w:bookmarkEnd w:id="6"/>
      <w:r w:rsidRPr="00755B9D">
        <w:rPr>
          <w:spacing w:val="-2"/>
          <w:sz w:val="36"/>
          <w:szCs w:val="36"/>
        </w:rPr>
        <w:t>statement</w:t>
      </w:r>
      <w:r w:rsidR="00CE202C">
        <w:rPr>
          <w:spacing w:val="-2"/>
          <w:sz w:val="36"/>
          <w:szCs w:val="36"/>
        </w:rPr>
        <w:br/>
      </w:r>
    </w:p>
    <w:p w14:paraId="3C65023E" w14:textId="08A530CD" w:rsidR="00987DAC" w:rsidRDefault="00CE202C">
      <w:pPr>
        <w:pStyle w:val="Brdtext"/>
        <w:spacing w:before="10"/>
      </w:pPr>
      <w:r>
        <w:t xml:space="preserve">    </w:t>
      </w:r>
      <w:r w:rsidR="001359BC" w:rsidRPr="001359BC">
        <w:rPr>
          <w:noProof/>
        </w:rPr>
        <w:drawing>
          <wp:inline distT="0" distB="0" distL="0" distR="0" wp14:anchorId="64CAB9FE" wp14:editId="35729AB0">
            <wp:extent cx="4829175" cy="4610100"/>
            <wp:effectExtent l="0" t="0" r="9525" b="0"/>
            <wp:docPr id="340062441"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29175" cy="4610100"/>
                    </a:xfrm>
                    <a:prstGeom prst="rect">
                      <a:avLst/>
                    </a:prstGeom>
                    <a:noFill/>
                    <a:ln>
                      <a:noFill/>
                    </a:ln>
                  </pic:spPr>
                </pic:pic>
              </a:graphicData>
            </a:graphic>
          </wp:inline>
        </w:drawing>
      </w:r>
    </w:p>
    <w:p w14:paraId="77CB5E1A" w14:textId="77777777" w:rsidR="007D3703" w:rsidRPr="00755B9D" w:rsidRDefault="007D3703">
      <w:pPr>
        <w:pStyle w:val="Brdtext"/>
        <w:spacing w:before="10"/>
        <w:rPr>
          <w:b/>
          <w:sz w:val="19"/>
        </w:rPr>
      </w:pPr>
    </w:p>
    <w:p w14:paraId="75D62100" w14:textId="77777777" w:rsidR="007D3703" w:rsidRDefault="00016B4C" w:rsidP="007D3703">
      <w:pPr>
        <w:pStyle w:val="Rubrik2"/>
        <w:rPr>
          <w:sz w:val="36"/>
          <w:szCs w:val="36"/>
        </w:rPr>
      </w:pPr>
      <w:bookmarkStart w:id="7" w:name="_TOC_250004"/>
      <w:r w:rsidRPr="001C6744">
        <w:rPr>
          <w:sz w:val="36"/>
          <w:szCs w:val="36"/>
        </w:rPr>
        <w:t>The</w:t>
      </w:r>
      <w:r w:rsidRPr="007D3703">
        <w:rPr>
          <w:sz w:val="36"/>
          <w:szCs w:val="36"/>
        </w:rPr>
        <w:t xml:space="preserve"> </w:t>
      </w:r>
      <w:r w:rsidRPr="001C6744">
        <w:rPr>
          <w:sz w:val="36"/>
          <w:szCs w:val="36"/>
        </w:rPr>
        <w:t>parent</w:t>
      </w:r>
      <w:r w:rsidRPr="007D3703">
        <w:rPr>
          <w:sz w:val="36"/>
          <w:szCs w:val="36"/>
        </w:rPr>
        <w:t xml:space="preserve"> </w:t>
      </w:r>
      <w:r w:rsidRPr="001C6744">
        <w:rPr>
          <w:sz w:val="36"/>
          <w:szCs w:val="36"/>
        </w:rPr>
        <w:t>company’s</w:t>
      </w:r>
      <w:r w:rsidRPr="007D3703">
        <w:rPr>
          <w:sz w:val="36"/>
          <w:szCs w:val="36"/>
        </w:rPr>
        <w:t xml:space="preserve"> </w:t>
      </w:r>
      <w:bookmarkEnd w:id="7"/>
      <w:r w:rsidRPr="001C6744">
        <w:rPr>
          <w:sz w:val="36"/>
          <w:szCs w:val="36"/>
        </w:rPr>
        <w:t>comprehensive income statemen</w:t>
      </w:r>
      <w:r w:rsidR="007D3703">
        <w:rPr>
          <w:sz w:val="36"/>
          <w:szCs w:val="36"/>
        </w:rPr>
        <w:t>t</w:t>
      </w:r>
    </w:p>
    <w:p w14:paraId="6A1D5286" w14:textId="77777777" w:rsidR="007D3703" w:rsidRPr="007D3703" w:rsidRDefault="007D3703" w:rsidP="007D3703">
      <w:pPr>
        <w:pStyle w:val="Rubrik2"/>
        <w:rPr>
          <w:sz w:val="18"/>
          <w:szCs w:val="18"/>
        </w:rPr>
      </w:pPr>
    </w:p>
    <w:p w14:paraId="4BD72FD7" w14:textId="20D719C4" w:rsidR="001C6744" w:rsidRDefault="000D25FE" w:rsidP="000D25FE">
      <w:pPr>
        <w:pStyle w:val="Brdtext"/>
        <w:spacing w:before="10"/>
      </w:pPr>
      <w:r>
        <w:t xml:space="preserve">   </w:t>
      </w:r>
      <w:r w:rsidR="001359BC" w:rsidRPr="001359BC">
        <w:rPr>
          <w:noProof/>
        </w:rPr>
        <w:drawing>
          <wp:inline distT="0" distB="0" distL="0" distR="0" wp14:anchorId="182A9963" wp14:editId="10EAF574">
            <wp:extent cx="4829175" cy="809625"/>
            <wp:effectExtent l="0" t="0" r="9525" b="9525"/>
            <wp:docPr id="1654643852"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29175" cy="809625"/>
                    </a:xfrm>
                    <a:prstGeom prst="rect">
                      <a:avLst/>
                    </a:prstGeom>
                    <a:noFill/>
                    <a:ln>
                      <a:noFill/>
                    </a:ln>
                  </pic:spPr>
                </pic:pic>
              </a:graphicData>
            </a:graphic>
          </wp:inline>
        </w:drawing>
      </w:r>
    </w:p>
    <w:p w14:paraId="43A9F36C" w14:textId="77777777" w:rsidR="000D25FE" w:rsidRPr="000D25FE" w:rsidRDefault="000D25FE" w:rsidP="000D25FE">
      <w:pPr>
        <w:pStyle w:val="Brdtext"/>
        <w:spacing w:before="10"/>
      </w:pPr>
    </w:p>
    <w:p w14:paraId="3C6502A9" w14:textId="77777777" w:rsidR="00987DAC" w:rsidRPr="000D25FE" w:rsidRDefault="00987DAC" w:rsidP="000D25FE">
      <w:pPr>
        <w:pStyle w:val="Brdtext"/>
        <w:spacing w:before="10"/>
        <w:sectPr w:rsidR="00987DAC" w:rsidRPr="000D25FE" w:rsidSect="008B3536">
          <w:pgSz w:w="11910" w:h="16840"/>
          <w:pgMar w:top="1420" w:right="980" w:bottom="0" w:left="1300" w:header="512" w:footer="720" w:gutter="0"/>
          <w:cols w:space="720"/>
          <w:docGrid w:linePitch="299"/>
        </w:sectPr>
      </w:pPr>
    </w:p>
    <w:p w14:paraId="3C6502AB" w14:textId="6D14CF1E" w:rsidR="00987DAC" w:rsidRPr="008B5732" w:rsidRDefault="00016B4C">
      <w:pPr>
        <w:pStyle w:val="Rubrik2"/>
        <w:rPr>
          <w:spacing w:val="-2"/>
          <w:sz w:val="18"/>
          <w:szCs w:val="18"/>
        </w:rPr>
      </w:pPr>
      <w:bookmarkStart w:id="8" w:name="_TOC_250003"/>
      <w:r w:rsidRPr="00874D56">
        <w:rPr>
          <w:sz w:val="36"/>
          <w:szCs w:val="36"/>
        </w:rPr>
        <w:lastRenderedPageBreak/>
        <w:t>The</w:t>
      </w:r>
      <w:r w:rsidRPr="00874D56">
        <w:rPr>
          <w:spacing w:val="-16"/>
          <w:sz w:val="36"/>
          <w:szCs w:val="36"/>
        </w:rPr>
        <w:t xml:space="preserve"> </w:t>
      </w:r>
      <w:r w:rsidRPr="00874D56">
        <w:rPr>
          <w:sz w:val="36"/>
          <w:szCs w:val="36"/>
        </w:rPr>
        <w:t>parent</w:t>
      </w:r>
      <w:r w:rsidRPr="00874D56">
        <w:rPr>
          <w:spacing w:val="-18"/>
          <w:sz w:val="36"/>
          <w:szCs w:val="36"/>
        </w:rPr>
        <w:t xml:space="preserve"> </w:t>
      </w:r>
      <w:r w:rsidRPr="00874D56">
        <w:rPr>
          <w:sz w:val="36"/>
          <w:szCs w:val="36"/>
        </w:rPr>
        <w:t>company’s</w:t>
      </w:r>
      <w:r w:rsidRPr="00874D56">
        <w:rPr>
          <w:spacing w:val="-16"/>
          <w:sz w:val="36"/>
          <w:szCs w:val="36"/>
        </w:rPr>
        <w:t xml:space="preserve"> </w:t>
      </w:r>
      <w:r w:rsidRPr="00874D56">
        <w:rPr>
          <w:sz w:val="36"/>
          <w:szCs w:val="36"/>
        </w:rPr>
        <w:t>balance</w:t>
      </w:r>
      <w:r w:rsidRPr="00874D56">
        <w:rPr>
          <w:spacing w:val="-16"/>
          <w:sz w:val="36"/>
          <w:szCs w:val="36"/>
        </w:rPr>
        <w:t xml:space="preserve"> </w:t>
      </w:r>
      <w:bookmarkEnd w:id="8"/>
      <w:r w:rsidRPr="00874D56">
        <w:rPr>
          <w:spacing w:val="-2"/>
          <w:sz w:val="36"/>
          <w:szCs w:val="36"/>
        </w:rPr>
        <w:t>sheet</w:t>
      </w:r>
      <w:r w:rsidR="008B5732">
        <w:rPr>
          <w:spacing w:val="-2"/>
          <w:sz w:val="36"/>
          <w:szCs w:val="36"/>
        </w:rPr>
        <w:br/>
      </w:r>
    </w:p>
    <w:p w14:paraId="50771FAC" w14:textId="23C8E563" w:rsidR="00874D56" w:rsidRPr="00D77FF6" w:rsidRDefault="008B5732">
      <w:pPr>
        <w:pStyle w:val="Rubrik2"/>
        <w:rPr>
          <w:spacing w:val="-2"/>
          <w:sz w:val="18"/>
          <w:szCs w:val="18"/>
        </w:rPr>
      </w:pPr>
      <w:r w:rsidRPr="008B5732">
        <w:rPr>
          <w:noProof/>
        </w:rPr>
        <w:drawing>
          <wp:inline distT="0" distB="0" distL="0" distR="0" wp14:anchorId="6D61B1EF" wp14:editId="4A2C626E">
            <wp:extent cx="5648325" cy="6610350"/>
            <wp:effectExtent l="0" t="0" r="9525" b="0"/>
            <wp:docPr id="213436846" name="Bildobjek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48325" cy="6610350"/>
                    </a:xfrm>
                    <a:prstGeom prst="rect">
                      <a:avLst/>
                    </a:prstGeom>
                    <a:noFill/>
                    <a:ln>
                      <a:noFill/>
                    </a:ln>
                  </pic:spPr>
                </pic:pic>
              </a:graphicData>
            </a:graphic>
          </wp:inline>
        </w:drawing>
      </w:r>
    </w:p>
    <w:p w14:paraId="3C6502AC" w14:textId="77777777" w:rsidR="00987DAC" w:rsidRPr="004A35D6" w:rsidRDefault="00987DAC">
      <w:pPr>
        <w:pStyle w:val="Brdtext"/>
        <w:spacing w:before="10"/>
        <w:rPr>
          <w:b/>
          <w:sz w:val="19"/>
        </w:rPr>
      </w:pPr>
    </w:p>
    <w:p w14:paraId="3C650317" w14:textId="77777777" w:rsidR="00987DAC" w:rsidRPr="004A35D6" w:rsidRDefault="00987DAC">
      <w:pPr>
        <w:jc w:val="right"/>
        <w:rPr>
          <w:sz w:val="18"/>
        </w:rPr>
        <w:sectPr w:rsidR="00987DAC" w:rsidRPr="004A35D6" w:rsidSect="00CD6222">
          <w:footerReference w:type="default" r:id="rId67"/>
          <w:pgSz w:w="11910" w:h="16840"/>
          <w:pgMar w:top="1420" w:right="980" w:bottom="900" w:left="1300" w:header="512" w:footer="719" w:gutter="0"/>
          <w:cols w:space="720"/>
        </w:sectPr>
      </w:pPr>
    </w:p>
    <w:p w14:paraId="2741D6D1" w14:textId="75D659DC" w:rsidR="00D77FF6" w:rsidRDefault="00D77FF6" w:rsidP="00D77FF6">
      <w:pPr>
        <w:pStyle w:val="Rubrik2"/>
        <w:rPr>
          <w:spacing w:val="-2"/>
          <w:sz w:val="36"/>
          <w:szCs w:val="36"/>
        </w:rPr>
      </w:pPr>
      <w:r w:rsidRPr="00874D56">
        <w:rPr>
          <w:sz w:val="36"/>
          <w:szCs w:val="36"/>
        </w:rPr>
        <w:lastRenderedPageBreak/>
        <w:t>The</w:t>
      </w:r>
      <w:r w:rsidRPr="00874D56">
        <w:rPr>
          <w:spacing w:val="-16"/>
          <w:sz w:val="36"/>
          <w:szCs w:val="36"/>
        </w:rPr>
        <w:t xml:space="preserve"> </w:t>
      </w:r>
      <w:r w:rsidRPr="00874D56">
        <w:rPr>
          <w:sz w:val="36"/>
          <w:szCs w:val="36"/>
        </w:rPr>
        <w:t>parent</w:t>
      </w:r>
      <w:r w:rsidRPr="00874D56">
        <w:rPr>
          <w:spacing w:val="-18"/>
          <w:sz w:val="36"/>
          <w:szCs w:val="36"/>
        </w:rPr>
        <w:t xml:space="preserve"> </w:t>
      </w:r>
      <w:r w:rsidRPr="00874D56">
        <w:rPr>
          <w:sz w:val="36"/>
          <w:szCs w:val="36"/>
        </w:rPr>
        <w:t>company’s</w:t>
      </w:r>
      <w:r w:rsidRPr="00874D56">
        <w:rPr>
          <w:spacing w:val="-16"/>
          <w:sz w:val="36"/>
          <w:szCs w:val="36"/>
        </w:rPr>
        <w:t xml:space="preserve"> </w:t>
      </w:r>
      <w:r w:rsidRPr="00874D56">
        <w:rPr>
          <w:sz w:val="36"/>
          <w:szCs w:val="36"/>
        </w:rPr>
        <w:t>balance</w:t>
      </w:r>
      <w:r w:rsidRPr="00874D56">
        <w:rPr>
          <w:spacing w:val="-16"/>
          <w:sz w:val="36"/>
          <w:szCs w:val="36"/>
        </w:rPr>
        <w:t xml:space="preserve"> </w:t>
      </w:r>
      <w:r w:rsidRPr="00874D56">
        <w:rPr>
          <w:spacing w:val="-2"/>
          <w:sz w:val="36"/>
          <w:szCs w:val="36"/>
        </w:rPr>
        <w:t>sheet</w:t>
      </w:r>
      <w:r>
        <w:rPr>
          <w:spacing w:val="-2"/>
          <w:sz w:val="36"/>
          <w:szCs w:val="36"/>
        </w:rPr>
        <w:t xml:space="preserve"> (cont’d)</w:t>
      </w:r>
    </w:p>
    <w:p w14:paraId="53216028" w14:textId="77777777" w:rsidR="003E5A03" w:rsidRPr="003E5A03" w:rsidRDefault="003E5A03" w:rsidP="00D77FF6">
      <w:pPr>
        <w:pStyle w:val="Rubrik2"/>
        <w:rPr>
          <w:spacing w:val="-2"/>
          <w:sz w:val="18"/>
          <w:szCs w:val="18"/>
        </w:rPr>
      </w:pPr>
    </w:p>
    <w:p w14:paraId="1D9D9487" w14:textId="483081CA" w:rsidR="00D77FF6" w:rsidRPr="003E5A03" w:rsidRDefault="00980E1C" w:rsidP="003E5A03">
      <w:pPr>
        <w:pStyle w:val="Rubrik2"/>
        <w:rPr>
          <w:spacing w:val="-2"/>
          <w:sz w:val="18"/>
          <w:szCs w:val="18"/>
        </w:rPr>
      </w:pPr>
      <w:r w:rsidRPr="00980E1C">
        <w:rPr>
          <w:noProof/>
        </w:rPr>
        <w:drawing>
          <wp:inline distT="0" distB="0" distL="0" distR="0" wp14:anchorId="1B75029D" wp14:editId="2EB3FC01">
            <wp:extent cx="5515660" cy="6259311"/>
            <wp:effectExtent l="0" t="0" r="8890" b="8255"/>
            <wp:docPr id="97454658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26388" cy="6271485"/>
                    </a:xfrm>
                    <a:prstGeom prst="rect">
                      <a:avLst/>
                    </a:prstGeom>
                    <a:noFill/>
                    <a:ln>
                      <a:noFill/>
                    </a:ln>
                  </pic:spPr>
                </pic:pic>
              </a:graphicData>
            </a:graphic>
          </wp:inline>
        </w:drawing>
      </w:r>
    </w:p>
    <w:p w14:paraId="3C650319" w14:textId="77777777" w:rsidR="00987DAC" w:rsidRPr="0045551C" w:rsidRDefault="00987DAC">
      <w:pPr>
        <w:pStyle w:val="Brdtext"/>
        <w:rPr>
          <w:b/>
          <w:sz w:val="20"/>
        </w:rPr>
      </w:pPr>
    </w:p>
    <w:p w14:paraId="3C650393" w14:textId="77777777" w:rsidR="00987DAC" w:rsidRPr="0045551C" w:rsidRDefault="00987DAC">
      <w:pPr>
        <w:spacing w:line="204" w:lineRule="exact"/>
        <w:jc w:val="right"/>
        <w:rPr>
          <w:sz w:val="18"/>
        </w:rPr>
        <w:sectPr w:rsidR="00987DAC" w:rsidRPr="0045551C">
          <w:pgSz w:w="11910" w:h="16840"/>
          <w:pgMar w:top="1420" w:right="980" w:bottom="900" w:left="1300" w:header="512" w:footer="719" w:gutter="0"/>
          <w:cols w:space="720"/>
        </w:sectPr>
      </w:pPr>
    </w:p>
    <w:p w14:paraId="3C650395" w14:textId="77777777" w:rsidR="00987DAC" w:rsidRPr="005148B3" w:rsidRDefault="00016B4C">
      <w:pPr>
        <w:pStyle w:val="Rubrik2"/>
        <w:spacing w:line="216" w:lineRule="auto"/>
        <w:ind w:right="442"/>
        <w:rPr>
          <w:sz w:val="36"/>
          <w:szCs w:val="36"/>
        </w:rPr>
      </w:pPr>
      <w:bookmarkStart w:id="9" w:name="_TOC_250002"/>
      <w:r w:rsidRPr="005148B3">
        <w:rPr>
          <w:sz w:val="36"/>
          <w:szCs w:val="36"/>
        </w:rPr>
        <w:lastRenderedPageBreak/>
        <w:t>The</w:t>
      </w:r>
      <w:r w:rsidRPr="005148B3">
        <w:rPr>
          <w:spacing w:val="-10"/>
          <w:sz w:val="36"/>
          <w:szCs w:val="36"/>
        </w:rPr>
        <w:t xml:space="preserve"> </w:t>
      </w:r>
      <w:r w:rsidRPr="005148B3">
        <w:rPr>
          <w:sz w:val="36"/>
          <w:szCs w:val="36"/>
        </w:rPr>
        <w:t>parent</w:t>
      </w:r>
      <w:r w:rsidRPr="005148B3">
        <w:rPr>
          <w:spacing w:val="-12"/>
          <w:sz w:val="36"/>
          <w:szCs w:val="36"/>
        </w:rPr>
        <w:t xml:space="preserve"> </w:t>
      </w:r>
      <w:r w:rsidRPr="005148B3">
        <w:rPr>
          <w:sz w:val="36"/>
          <w:szCs w:val="36"/>
        </w:rPr>
        <w:t>company’s</w:t>
      </w:r>
      <w:r w:rsidRPr="005148B3">
        <w:rPr>
          <w:spacing w:val="-10"/>
          <w:sz w:val="36"/>
          <w:szCs w:val="36"/>
        </w:rPr>
        <w:t xml:space="preserve"> </w:t>
      </w:r>
      <w:r w:rsidRPr="005148B3">
        <w:rPr>
          <w:sz w:val="36"/>
          <w:szCs w:val="36"/>
        </w:rPr>
        <w:t>statement</w:t>
      </w:r>
      <w:r w:rsidRPr="005148B3">
        <w:rPr>
          <w:spacing w:val="-10"/>
          <w:sz w:val="36"/>
          <w:szCs w:val="36"/>
        </w:rPr>
        <w:t xml:space="preserve"> </w:t>
      </w:r>
      <w:bookmarkEnd w:id="9"/>
      <w:r w:rsidRPr="005148B3">
        <w:rPr>
          <w:sz w:val="36"/>
          <w:szCs w:val="36"/>
        </w:rPr>
        <w:t>of changes in equity</w:t>
      </w:r>
    </w:p>
    <w:p w14:paraId="128BA6AD" w14:textId="77777777" w:rsidR="005148B3" w:rsidRPr="005148B3" w:rsidRDefault="005148B3">
      <w:pPr>
        <w:pStyle w:val="Rubrik2"/>
        <w:spacing w:line="216" w:lineRule="auto"/>
        <w:ind w:right="442"/>
        <w:rPr>
          <w:sz w:val="18"/>
          <w:szCs w:val="18"/>
        </w:rPr>
      </w:pPr>
    </w:p>
    <w:p w14:paraId="0A2872C5" w14:textId="0E0433B8" w:rsidR="00F11CE1" w:rsidRPr="00A950F9" w:rsidRDefault="00941467">
      <w:pPr>
        <w:pStyle w:val="Rubrik2"/>
        <w:spacing w:line="216" w:lineRule="auto"/>
        <w:ind w:right="442"/>
      </w:pPr>
      <w:r w:rsidRPr="00941467">
        <w:rPr>
          <w:noProof/>
        </w:rPr>
        <w:drawing>
          <wp:inline distT="0" distB="0" distL="0" distR="0" wp14:anchorId="7BBA01E8" wp14:editId="7075BB87">
            <wp:extent cx="6115050" cy="3355975"/>
            <wp:effectExtent l="0" t="0" r="0" b="0"/>
            <wp:docPr id="1836834660"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15050" cy="3355975"/>
                    </a:xfrm>
                    <a:prstGeom prst="rect">
                      <a:avLst/>
                    </a:prstGeom>
                    <a:noFill/>
                    <a:ln>
                      <a:noFill/>
                    </a:ln>
                  </pic:spPr>
                </pic:pic>
              </a:graphicData>
            </a:graphic>
          </wp:inline>
        </w:drawing>
      </w:r>
    </w:p>
    <w:p w14:paraId="3C650396" w14:textId="77777777" w:rsidR="00987DAC" w:rsidRPr="00A950F9" w:rsidRDefault="00987DAC">
      <w:pPr>
        <w:pStyle w:val="Brdtext"/>
        <w:spacing w:before="11"/>
        <w:rPr>
          <w:b/>
          <w:sz w:val="20"/>
        </w:rPr>
      </w:pPr>
    </w:p>
    <w:p w14:paraId="3C650411" w14:textId="77777777" w:rsidR="00987DAC" w:rsidRPr="00A950F9" w:rsidRDefault="00987DAC">
      <w:pPr>
        <w:jc w:val="right"/>
        <w:rPr>
          <w:sz w:val="18"/>
        </w:rPr>
        <w:sectPr w:rsidR="00987DAC" w:rsidRPr="00A950F9">
          <w:pgSz w:w="11910" w:h="16840"/>
          <w:pgMar w:top="1420" w:right="980" w:bottom="900" w:left="1300" w:header="512" w:footer="719" w:gutter="0"/>
          <w:cols w:space="720"/>
        </w:sectPr>
      </w:pPr>
    </w:p>
    <w:p w14:paraId="3C650413" w14:textId="03C92A55" w:rsidR="00987DAC" w:rsidRPr="00B149ED" w:rsidRDefault="00016B4C">
      <w:pPr>
        <w:pStyle w:val="Rubrik2"/>
        <w:rPr>
          <w:spacing w:val="-2"/>
          <w:sz w:val="36"/>
          <w:szCs w:val="36"/>
        </w:rPr>
      </w:pPr>
      <w:bookmarkStart w:id="10" w:name="_bookmark11"/>
      <w:bookmarkStart w:id="11" w:name="_TOC_250001"/>
      <w:bookmarkEnd w:id="10"/>
      <w:r w:rsidRPr="00B149ED">
        <w:rPr>
          <w:sz w:val="36"/>
          <w:szCs w:val="36"/>
        </w:rPr>
        <w:lastRenderedPageBreak/>
        <w:t>The</w:t>
      </w:r>
      <w:r w:rsidRPr="00B149ED">
        <w:rPr>
          <w:spacing w:val="-13"/>
          <w:sz w:val="36"/>
          <w:szCs w:val="36"/>
        </w:rPr>
        <w:t xml:space="preserve"> </w:t>
      </w:r>
      <w:r w:rsidRPr="00B149ED">
        <w:rPr>
          <w:sz w:val="36"/>
          <w:szCs w:val="36"/>
        </w:rPr>
        <w:t>parent</w:t>
      </w:r>
      <w:r w:rsidRPr="00B149ED">
        <w:rPr>
          <w:spacing w:val="-13"/>
          <w:sz w:val="36"/>
          <w:szCs w:val="36"/>
        </w:rPr>
        <w:t xml:space="preserve"> </w:t>
      </w:r>
      <w:r w:rsidRPr="00B149ED">
        <w:rPr>
          <w:sz w:val="36"/>
          <w:szCs w:val="36"/>
        </w:rPr>
        <w:t>company’s</w:t>
      </w:r>
      <w:r w:rsidRPr="00B149ED">
        <w:rPr>
          <w:spacing w:val="-11"/>
          <w:sz w:val="36"/>
          <w:szCs w:val="36"/>
        </w:rPr>
        <w:t xml:space="preserve"> </w:t>
      </w:r>
      <w:r w:rsidRPr="00B149ED">
        <w:rPr>
          <w:sz w:val="36"/>
          <w:szCs w:val="36"/>
        </w:rPr>
        <w:t>cash</w:t>
      </w:r>
      <w:r w:rsidRPr="00B149ED">
        <w:rPr>
          <w:spacing w:val="-13"/>
          <w:sz w:val="36"/>
          <w:szCs w:val="36"/>
        </w:rPr>
        <w:t xml:space="preserve"> </w:t>
      </w:r>
      <w:r w:rsidRPr="00B149ED">
        <w:rPr>
          <w:sz w:val="36"/>
          <w:szCs w:val="36"/>
        </w:rPr>
        <w:t>flow</w:t>
      </w:r>
      <w:r w:rsidRPr="00B149ED">
        <w:rPr>
          <w:spacing w:val="-15"/>
          <w:sz w:val="36"/>
          <w:szCs w:val="36"/>
        </w:rPr>
        <w:t xml:space="preserve"> </w:t>
      </w:r>
      <w:bookmarkEnd w:id="11"/>
      <w:r w:rsidR="009C3CA7">
        <w:rPr>
          <w:spacing w:val="-2"/>
          <w:sz w:val="36"/>
          <w:szCs w:val="36"/>
        </w:rPr>
        <w:t>statemen</w:t>
      </w:r>
    </w:p>
    <w:p w14:paraId="36AA0FCB" w14:textId="77777777" w:rsidR="00451EC4" w:rsidRDefault="00451EC4">
      <w:pPr>
        <w:pStyle w:val="Rubrik2"/>
        <w:rPr>
          <w:sz w:val="18"/>
          <w:szCs w:val="18"/>
        </w:rPr>
      </w:pPr>
    </w:p>
    <w:p w14:paraId="2D909EC1" w14:textId="5E684C5A" w:rsidR="001A2D56" w:rsidRPr="00451EC4" w:rsidRDefault="009B4049">
      <w:pPr>
        <w:pStyle w:val="Rubrik2"/>
        <w:rPr>
          <w:sz w:val="18"/>
          <w:szCs w:val="18"/>
        </w:rPr>
      </w:pPr>
      <w:r w:rsidRPr="009B4049">
        <w:rPr>
          <w:noProof/>
        </w:rPr>
        <w:drawing>
          <wp:inline distT="0" distB="0" distL="0" distR="0" wp14:anchorId="7EA30A94" wp14:editId="1955394B">
            <wp:extent cx="5288720" cy="5210175"/>
            <wp:effectExtent l="0" t="0" r="7620" b="0"/>
            <wp:docPr id="1267914737"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93637" cy="5215019"/>
                    </a:xfrm>
                    <a:prstGeom prst="rect">
                      <a:avLst/>
                    </a:prstGeom>
                    <a:noFill/>
                    <a:ln>
                      <a:noFill/>
                    </a:ln>
                  </pic:spPr>
                </pic:pic>
              </a:graphicData>
            </a:graphic>
          </wp:inline>
        </w:drawing>
      </w:r>
    </w:p>
    <w:p w14:paraId="3C650414" w14:textId="77777777" w:rsidR="00987DAC" w:rsidRPr="00451EC4" w:rsidRDefault="00987DAC">
      <w:pPr>
        <w:pStyle w:val="Brdtext"/>
        <w:spacing w:before="10"/>
        <w:rPr>
          <w:b/>
          <w:sz w:val="19"/>
        </w:rPr>
      </w:pPr>
    </w:p>
    <w:p w14:paraId="3C650495" w14:textId="77777777" w:rsidR="00987DAC" w:rsidRPr="008F26E2" w:rsidRDefault="00987DAC">
      <w:pPr>
        <w:jc w:val="right"/>
        <w:rPr>
          <w:color w:val="FF0000"/>
          <w:sz w:val="18"/>
        </w:rPr>
        <w:sectPr w:rsidR="00987DAC" w:rsidRPr="008F26E2">
          <w:pgSz w:w="11910" w:h="16840"/>
          <w:pgMar w:top="1420" w:right="980" w:bottom="900" w:left="1300" w:header="512" w:footer="719" w:gutter="0"/>
          <w:cols w:space="720"/>
        </w:sectPr>
      </w:pPr>
    </w:p>
    <w:p w14:paraId="3C650497" w14:textId="77777777" w:rsidR="00987DAC" w:rsidRPr="00B149ED" w:rsidRDefault="00016B4C">
      <w:pPr>
        <w:pStyle w:val="Rubrik2"/>
        <w:rPr>
          <w:sz w:val="36"/>
          <w:szCs w:val="36"/>
        </w:rPr>
      </w:pPr>
      <w:bookmarkStart w:id="12" w:name="_TOC_250000"/>
      <w:r w:rsidRPr="00B149ED">
        <w:rPr>
          <w:sz w:val="36"/>
          <w:szCs w:val="36"/>
        </w:rPr>
        <w:lastRenderedPageBreak/>
        <w:t>The</w:t>
      </w:r>
      <w:r w:rsidRPr="00B149ED">
        <w:rPr>
          <w:spacing w:val="-16"/>
          <w:sz w:val="36"/>
          <w:szCs w:val="36"/>
        </w:rPr>
        <w:t xml:space="preserve"> </w:t>
      </w:r>
      <w:r w:rsidRPr="00B149ED">
        <w:rPr>
          <w:sz w:val="36"/>
          <w:szCs w:val="36"/>
        </w:rPr>
        <w:t>parent</w:t>
      </w:r>
      <w:r w:rsidRPr="00B149ED">
        <w:rPr>
          <w:spacing w:val="-17"/>
          <w:sz w:val="36"/>
          <w:szCs w:val="36"/>
        </w:rPr>
        <w:t xml:space="preserve"> </w:t>
      </w:r>
      <w:r w:rsidRPr="00B149ED">
        <w:rPr>
          <w:sz w:val="36"/>
          <w:szCs w:val="36"/>
        </w:rPr>
        <w:t>company’s</w:t>
      </w:r>
      <w:r w:rsidRPr="00B149ED">
        <w:rPr>
          <w:spacing w:val="-15"/>
          <w:sz w:val="36"/>
          <w:szCs w:val="36"/>
        </w:rPr>
        <w:t xml:space="preserve"> </w:t>
      </w:r>
      <w:bookmarkEnd w:id="12"/>
      <w:r w:rsidRPr="00B149ED">
        <w:rPr>
          <w:spacing w:val="-2"/>
          <w:sz w:val="36"/>
          <w:szCs w:val="36"/>
        </w:rPr>
        <w:t>notes</w:t>
      </w:r>
    </w:p>
    <w:p w14:paraId="3C650498" w14:textId="77777777" w:rsidR="00987DAC" w:rsidRPr="00761B4D" w:rsidRDefault="00016B4C">
      <w:pPr>
        <w:pStyle w:val="Rubrik5"/>
        <w:spacing w:before="229"/>
      </w:pPr>
      <w:r w:rsidRPr="00761B4D">
        <w:t>Note</w:t>
      </w:r>
      <w:r w:rsidRPr="00761B4D">
        <w:rPr>
          <w:spacing w:val="-5"/>
        </w:rPr>
        <w:t xml:space="preserve"> </w:t>
      </w:r>
      <w:r w:rsidRPr="00761B4D">
        <w:t>1</w:t>
      </w:r>
      <w:r w:rsidRPr="00761B4D">
        <w:rPr>
          <w:spacing w:val="-3"/>
        </w:rPr>
        <w:t xml:space="preserve"> </w:t>
      </w:r>
      <w:r w:rsidRPr="00761B4D">
        <w:t>Accounting</w:t>
      </w:r>
      <w:r w:rsidRPr="00761B4D">
        <w:rPr>
          <w:spacing w:val="-4"/>
        </w:rPr>
        <w:t xml:space="preserve"> </w:t>
      </w:r>
      <w:r w:rsidRPr="00761B4D">
        <w:rPr>
          <w:spacing w:val="-2"/>
        </w:rPr>
        <w:t>principles</w:t>
      </w:r>
    </w:p>
    <w:p w14:paraId="3C650499" w14:textId="77777777" w:rsidR="00987DAC" w:rsidRPr="003A63B2" w:rsidRDefault="00016B4C">
      <w:pPr>
        <w:pStyle w:val="Brdtext"/>
        <w:spacing w:before="107" w:line="264" w:lineRule="auto"/>
        <w:ind w:left="118" w:right="463"/>
      </w:pPr>
      <w:r w:rsidRPr="00761B4D">
        <w:t>The Annual</w:t>
      </w:r>
      <w:r w:rsidRPr="00761B4D">
        <w:rPr>
          <w:spacing w:val="-2"/>
        </w:rPr>
        <w:t xml:space="preserve"> </w:t>
      </w:r>
      <w:r w:rsidRPr="00761B4D">
        <w:t>Report</w:t>
      </w:r>
      <w:r w:rsidRPr="00761B4D">
        <w:rPr>
          <w:spacing w:val="-2"/>
        </w:rPr>
        <w:t xml:space="preserve"> </w:t>
      </w:r>
      <w:r w:rsidRPr="00761B4D">
        <w:t>for the Parent Company has</w:t>
      </w:r>
      <w:r w:rsidRPr="00761B4D">
        <w:rPr>
          <w:spacing w:val="-1"/>
        </w:rPr>
        <w:t xml:space="preserve"> </w:t>
      </w:r>
      <w:r w:rsidRPr="00761B4D">
        <w:t>been</w:t>
      </w:r>
      <w:r w:rsidRPr="00761B4D">
        <w:rPr>
          <w:spacing w:val="-2"/>
        </w:rPr>
        <w:t xml:space="preserve"> </w:t>
      </w:r>
      <w:r w:rsidRPr="00761B4D">
        <w:t>prepared in</w:t>
      </w:r>
      <w:r w:rsidRPr="00761B4D">
        <w:rPr>
          <w:spacing w:val="-2"/>
        </w:rPr>
        <w:t xml:space="preserve"> </w:t>
      </w:r>
      <w:r w:rsidRPr="00761B4D">
        <w:t>accordance with the Swedish</w:t>
      </w:r>
      <w:r w:rsidRPr="00761B4D">
        <w:rPr>
          <w:spacing w:val="-2"/>
        </w:rPr>
        <w:t xml:space="preserve"> </w:t>
      </w:r>
      <w:r w:rsidRPr="00761B4D">
        <w:t>Annual Accounts Act and the Financial Reporting Council’s recommendation RFR 2 Accounting for Legal Entities. According to RFR</w:t>
      </w:r>
      <w:r w:rsidRPr="00761B4D">
        <w:rPr>
          <w:spacing w:val="-2"/>
        </w:rPr>
        <w:t xml:space="preserve"> </w:t>
      </w:r>
      <w:r w:rsidRPr="00761B4D">
        <w:t>2,</w:t>
      </w:r>
      <w:r w:rsidRPr="00761B4D">
        <w:rPr>
          <w:spacing w:val="-2"/>
        </w:rPr>
        <w:t xml:space="preserve"> </w:t>
      </w:r>
      <w:r w:rsidRPr="00761B4D">
        <w:t>the</w:t>
      </w:r>
      <w:r w:rsidRPr="00761B4D">
        <w:rPr>
          <w:spacing w:val="-4"/>
        </w:rPr>
        <w:t xml:space="preserve"> </w:t>
      </w:r>
      <w:r w:rsidRPr="00761B4D">
        <w:t>Parent</w:t>
      </w:r>
      <w:r w:rsidRPr="00761B4D">
        <w:rPr>
          <w:spacing w:val="-2"/>
        </w:rPr>
        <w:t xml:space="preserve"> </w:t>
      </w:r>
      <w:r w:rsidRPr="00761B4D">
        <w:t>Company</w:t>
      </w:r>
      <w:r w:rsidRPr="00761B4D">
        <w:rPr>
          <w:spacing w:val="-1"/>
        </w:rPr>
        <w:t xml:space="preserve"> </w:t>
      </w:r>
      <w:r w:rsidRPr="00761B4D">
        <w:t>shall</w:t>
      </w:r>
      <w:r w:rsidRPr="00761B4D">
        <w:rPr>
          <w:spacing w:val="-4"/>
        </w:rPr>
        <w:t xml:space="preserve"> </w:t>
      </w:r>
      <w:r w:rsidRPr="00761B4D">
        <w:t>apply</w:t>
      </w:r>
      <w:r w:rsidRPr="00761B4D">
        <w:rPr>
          <w:spacing w:val="-3"/>
        </w:rPr>
        <w:t xml:space="preserve"> </w:t>
      </w:r>
      <w:r w:rsidRPr="00761B4D">
        <w:t>all</w:t>
      </w:r>
      <w:r w:rsidRPr="00761B4D">
        <w:rPr>
          <w:spacing w:val="-4"/>
        </w:rPr>
        <w:t xml:space="preserve"> </w:t>
      </w:r>
      <w:r w:rsidRPr="00761B4D">
        <w:t>International</w:t>
      </w:r>
      <w:r w:rsidRPr="00761B4D">
        <w:rPr>
          <w:spacing w:val="-2"/>
        </w:rPr>
        <w:t xml:space="preserve"> </w:t>
      </w:r>
      <w:r w:rsidRPr="00761B4D">
        <w:t>Financial</w:t>
      </w:r>
      <w:r w:rsidRPr="00761B4D">
        <w:rPr>
          <w:spacing w:val="-2"/>
        </w:rPr>
        <w:t xml:space="preserve"> </w:t>
      </w:r>
      <w:r w:rsidRPr="00761B4D">
        <w:t>Reporting</w:t>
      </w:r>
      <w:r w:rsidRPr="00761B4D">
        <w:rPr>
          <w:spacing w:val="-2"/>
        </w:rPr>
        <w:t xml:space="preserve"> </w:t>
      </w:r>
      <w:r w:rsidRPr="00761B4D">
        <w:t>Standards,</w:t>
      </w:r>
      <w:r w:rsidRPr="00761B4D">
        <w:rPr>
          <w:spacing w:val="-4"/>
        </w:rPr>
        <w:t xml:space="preserve"> </w:t>
      </w:r>
      <w:r w:rsidRPr="00761B4D">
        <w:t>adopted</w:t>
      </w:r>
      <w:r w:rsidRPr="00761B4D">
        <w:rPr>
          <w:spacing w:val="-4"/>
        </w:rPr>
        <w:t xml:space="preserve"> </w:t>
      </w:r>
      <w:r w:rsidRPr="00761B4D">
        <w:t>by</w:t>
      </w:r>
      <w:r w:rsidRPr="00761B4D">
        <w:rPr>
          <w:spacing w:val="-3"/>
        </w:rPr>
        <w:t xml:space="preserve"> </w:t>
      </w:r>
      <w:r w:rsidRPr="00761B4D">
        <w:t>the</w:t>
      </w:r>
      <w:r w:rsidRPr="00761B4D">
        <w:rPr>
          <w:spacing w:val="-2"/>
        </w:rPr>
        <w:t xml:space="preserve"> </w:t>
      </w:r>
      <w:r w:rsidRPr="00761B4D">
        <w:t>EU,</w:t>
      </w:r>
      <w:r w:rsidRPr="00761B4D">
        <w:rPr>
          <w:spacing w:val="-4"/>
        </w:rPr>
        <w:t xml:space="preserve"> </w:t>
      </w:r>
      <w:r w:rsidRPr="00761B4D">
        <w:t>as</w:t>
      </w:r>
      <w:r w:rsidRPr="00761B4D">
        <w:rPr>
          <w:spacing w:val="-3"/>
        </w:rPr>
        <w:t xml:space="preserve"> </w:t>
      </w:r>
      <w:r w:rsidRPr="00761B4D">
        <w:t xml:space="preserve">far </w:t>
      </w:r>
      <w:r w:rsidRPr="003A63B2">
        <w:t>as possible within the framework of the Swedish Annual Accounts Act.</w:t>
      </w:r>
    </w:p>
    <w:p w14:paraId="3C65049A" w14:textId="77777777" w:rsidR="00987DAC" w:rsidRPr="003A63B2" w:rsidRDefault="00987DAC">
      <w:pPr>
        <w:pStyle w:val="Brdtext"/>
        <w:spacing w:before="60"/>
      </w:pPr>
    </w:p>
    <w:p w14:paraId="3C65049B" w14:textId="77777777" w:rsidR="00987DAC" w:rsidRPr="003A63B2" w:rsidRDefault="00016B4C">
      <w:pPr>
        <w:pStyle w:val="Rubrik8"/>
        <w:spacing w:before="1"/>
      </w:pPr>
      <w:r w:rsidRPr="003A63B2">
        <w:t>New</w:t>
      </w:r>
      <w:r w:rsidRPr="003A63B2">
        <w:rPr>
          <w:spacing w:val="-8"/>
        </w:rPr>
        <w:t xml:space="preserve"> </w:t>
      </w:r>
      <w:r w:rsidRPr="003A63B2">
        <w:t>and</w:t>
      </w:r>
      <w:r w:rsidRPr="003A63B2">
        <w:rPr>
          <w:spacing w:val="-8"/>
        </w:rPr>
        <w:t xml:space="preserve"> </w:t>
      </w:r>
      <w:r w:rsidRPr="003A63B2">
        <w:t>amended</w:t>
      </w:r>
      <w:r w:rsidRPr="003A63B2">
        <w:rPr>
          <w:spacing w:val="-10"/>
        </w:rPr>
        <w:t xml:space="preserve"> </w:t>
      </w:r>
      <w:r w:rsidRPr="003A63B2">
        <w:t>standards</w:t>
      </w:r>
      <w:r w:rsidRPr="003A63B2">
        <w:rPr>
          <w:spacing w:val="-8"/>
        </w:rPr>
        <w:t xml:space="preserve"> </w:t>
      </w:r>
      <w:r w:rsidRPr="003A63B2">
        <w:t>and</w:t>
      </w:r>
      <w:r w:rsidRPr="003A63B2">
        <w:rPr>
          <w:spacing w:val="-9"/>
        </w:rPr>
        <w:t xml:space="preserve"> </w:t>
      </w:r>
      <w:r w:rsidRPr="003A63B2">
        <w:t>interpretations</w:t>
      </w:r>
      <w:r w:rsidRPr="003A63B2">
        <w:rPr>
          <w:spacing w:val="-8"/>
        </w:rPr>
        <w:t xml:space="preserve"> </w:t>
      </w:r>
      <w:r w:rsidRPr="003A63B2">
        <w:t>that</w:t>
      </w:r>
      <w:r w:rsidRPr="003A63B2">
        <w:rPr>
          <w:spacing w:val="-8"/>
        </w:rPr>
        <w:t xml:space="preserve"> </w:t>
      </w:r>
      <w:r w:rsidRPr="003A63B2">
        <w:t>have</w:t>
      </w:r>
      <w:r w:rsidRPr="003A63B2">
        <w:rPr>
          <w:spacing w:val="-9"/>
        </w:rPr>
        <w:t xml:space="preserve"> </w:t>
      </w:r>
      <w:r w:rsidRPr="003A63B2">
        <w:t>not</w:t>
      </w:r>
      <w:r w:rsidRPr="003A63B2">
        <w:rPr>
          <w:spacing w:val="-9"/>
        </w:rPr>
        <w:t xml:space="preserve"> </w:t>
      </w:r>
      <w:r w:rsidRPr="003A63B2">
        <w:t>yet</w:t>
      </w:r>
      <w:r w:rsidRPr="003A63B2">
        <w:rPr>
          <w:spacing w:val="-9"/>
        </w:rPr>
        <w:t xml:space="preserve"> </w:t>
      </w:r>
      <w:r w:rsidRPr="003A63B2">
        <w:t>entered</w:t>
      </w:r>
      <w:r w:rsidRPr="003A63B2">
        <w:rPr>
          <w:spacing w:val="-8"/>
        </w:rPr>
        <w:t xml:space="preserve"> </w:t>
      </w:r>
      <w:r w:rsidRPr="003A63B2">
        <w:t>into</w:t>
      </w:r>
      <w:r w:rsidRPr="003A63B2">
        <w:rPr>
          <w:spacing w:val="-8"/>
        </w:rPr>
        <w:t xml:space="preserve"> </w:t>
      </w:r>
      <w:r w:rsidRPr="003A63B2">
        <w:rPr>
          <w:spacing w:val="-2"/>
        </w:rPr>
        <w:t>force</w:t>
      </w:r>
    </w:p>
    <w:p w14:paraId="3C65049C" w14:textId="43BD7EC3" w:rsidR="00987DAC" w:rsidRPr="00987F02" w:rsidRDefault="00016B4C">
      <w:pPr>
        <w:pStyle w:val="Brdtext"/>
        <w:spacing w:before="100" w:line="264" w:lineRule="auto"/>
        <w:ind w:left="118" w:right="442"/>
      </w:pPr>
      <w:r w:rsidRPr="00987F02">
        <w:t>The</w:t>
      </w:r>
      <w:r w:rsidRPr="00987F02">
        <w:rPr>
          <w:spacing w:val="-3"/>
        </w:rPr>
        <w:t xml:space="preserve"> </w:t>
      </w:r>
      <w:r w:rsidRPr="00987F02">
        <w:t>new</w:t>
      </w:r>
      <w:r w:rsidRPr="00987F02">
        <w:rPr>
          <w:spacing w:val="-6"/>
        </w:rPr>
        <w:t xml:space="preserve"> </w:t>
      </w:r>
      <w:r w:rsidRPr="00987F02">
        <w:t>and</w:t>
      </w:r>
      <w:r w:rsidRPr="00987F02">
        <w:rPr>
          <w:spacing w:val="-5"/>
        </w:rPr>
        <w:t xml:space="preserve"> </w:t>
      </w:r>
      <w:r w:rsidRPr="00987F02">
        <w:t>amended</w:t>
      </w:r>
      <w:r w:rsidRPr="00987F02">
        <w:rPr>
          <w:spacing w:val="-3"/>
        </w:rPr>
        <w:t xml:space="preserve"> </w:t>
      </w:r>
      <w:r w:rsidRPr="00987F02">
        <w:t>standards</w:t>
      </w:r>
      <w:r w:rsidRPr="00987F02">
        <w:rPr>
          <w:spacing w:val="-2"/>
        </w:rPr>
        <w:t xml:space="preserve"> </w:t>
      </w:r>
      <w:r w:rsidRPr="00987F02">
        <w:t>and</w:t>
      </w:r>
      <w:r w:rsidRPr="00987F02">
        <w:rPr>
          <w:spacing w:val="-3"/>
        </w:rPr>
        <w:t xml:space="preserve"> </w:t>
      </w:r>
      <w:r w:rsidRPr="00987F02">
        <w:t>interpretations</w:t>
      </w:r>
      <w:r w:rsidRPr="00987F02">
        <w:rPr>
          <w:spacing w:val="-2"/>
        </w:rPr>
        <w:t xml:space="preserve"> </w:t>
      </w:r>
      <w:r w:rsidRPr="00987F02">
        <w:t>that</w:t>
      </w:r>
      <w:r w:rsidRPr="00987F02">
        <w:rPr>
          <w:spacing w:val="-3"/>
        </w:rPr>
        <w:t xml:space="preserve"> </w:t>
      </w:r>
      <w:r w:rsidRPr="00987F02">
        <w:t>have</w:t>
      </w:r>
      <w:r w:rsidRPr="00987F02">
        <w:rPr>
          <w:spacing w:val="-3"/>
        </w:rPr>
        <w:t xml:space="preserve"> </w:t>
      </w:r>
      <w:r w:rsidRPr="00987F02">
        <w:t>been</w:t>
      </w:r>
      <w:r w:rsidRPr="00987F02">
        <w:rPr>
          <w:spacing w:val="-5"/>
        </w:rPr>
        <w:t xml:space="preserve"> </w:t>
      </w:r>
      <w:r w:rsidRPr="00987F02">
        <w:t>issued,</w:t>
      </w:r>
      <w:r w:rsidRPr="00987F02">
        <w:rPr>
          <w:spacing w:val="-3"/>
        </w:rPr>
        <w:t xml:space="preserve"> </w:t>
      </w:r>
      <w:r w:rsidRPr="00987F02">
        <w:t>but</w:t>
      </w:r>
      <w:r w:rsidRPr="00987F02">
        <w:rPr>
          <w:spacing w:val="-5"/>
        </w:rPr>
        <w:t xml:space="preserve"> </w:t>
      </w:r>
      <w:r w:rsidRPr="00987F02">
        <w:t>which</w:t>
      </w:r>
      <w:r w:rsidRPr="00987F02">
        <w:rPr>
          <w:spacing w:val="-3"/>
        </w:rPr>
        <w:t xml:space="preserve"> </w:t>
      </w:r>
      <w:r w:rsidRPr="00987F02">
        <w:t>enter</w:t>
      </w:r>
      <w:r w:rsidRPr="00987F02">
        <w:rPr>
          <w:spacing w:val="-3"/>
        </w:rPr>
        <w:t xml:space="preserve"> </w:t>
      </w:r>
      <w:r w:rsidRPr="00987F02">
        <w:t>into</w:t>
      </w:r>
      <w:r w:rsidRPr="00987F02">
        <w:rPr>
          <w:spacing w:val="-3"/>
        </w:rPr>
        <w:t xml:space="preserve"> </w:t>
      </w:r>
      <w:r w:rsidRPr="00987F02">
        <w:t>force for</w:t>
      </w:r>
      <w:r w:rsidRPr="00987F02">
        <w:rPr>
          <w:spacing w:val="-3"/>
        </w:rPr>
        <w:t xml:space="preserve"> </w:t>
      </w:r>
      <w:r w:rsidRPr="00987F02">
        <w:t>fiscal years beginning after 1 January 202</w:t>
      </w:r>
      <w:r w:rsidR="003A63B2" w:rsidRPr="00987F02">
        <w:t>5</w:t>
      </w:r>
      <w:r w:rsidRPr="00987F02">
        <w:t>, have not yet been applied by the Parent Company. New changes and additions in RFR 2, which are deemed to have an effect on the Parent Company's financial statements for the period when they are applied for the first time, are described below</w:t>
      </w:r>
    </w:p>
    <w:p w14:paraId="3C65049D" w14:textId="77777777" w:rsidR="00987DAC" w:rsidRPr="00987F02" w:rsidRDefault="00987DAC">
      <w:pPr>
        <w:pStyle w:val="Brdtext"/>
        <w:spacing w:before="23"/>
      </w:pPr>
    </w:p>
    <w:p w14:paraId="3C65049E" w14:textId="1BA235C8" w:rsidR="00987DAC" w:rsidRPr="00987F02" w:rsidRDefault="00016B4C">
      <w:pPr>
        <w:pStyle w:val="Brdtext"/>
        <w:spacing w:line="264" w:lineRule="auto"/>
        <w:ind w:left="118" w:right="463"/>
      </w:pPr>
      <w:r w:rsidRPr="00987F02">
        <w:t xml:space="preserve">The Parent Company has, as a basis, applied the Group's accounting principles (see </w:t>
      </w:r>
      <w:r w:rsidR="0094734D">
        <w:t>n</w:t>
      </w:r>
      <w:r w:rsidRPr="00987F02">
        <w:t>ote 2 for the Group) with some</w:t>
      </w:r>
      <w:r w:rsidRPr="00987F02">
        <w:rPr>
          <w:spacing w:val="-3"/>
        </w:rPr>
        <w:t xml:space="preserve"> </w:t>
      </w:r>
      <w:r w:rsidRPr="00987F02">
        <w:t>exceptions.</w:t>
      </w:r>
      <w:r w:rsidRPr="00987F02">
        <w:rPr>
          <w:spacing w:val="-5"/>
        </w:rPr>
        <w:t xml:space="preserve"> </w:t>
      </w:r>
      <w:r w:rsidRPr="00987F02">
        <w:t>The</w:t>
      </w:r>
      <w:r w:rsidRPr="00987F02">
        <w:rPr>
          <w:spacing w:val="-5"/>
        </w:rPr>
        <w:t xml:space="preserve"> </w:t>
      </w:r>
      <w:r w:rsidRPr="00987F02">
        <w:t>main</w:t>
      </w:r>
      <w:r w:rsidRPr="00987F02">
        <w:rPr>
          <w:spacing w:val="-3"/>
        </w:rPr>
        <w:t xml:space="preserve"> </w:t>
      </w:r>
      <w:r w:rsidRPr="00987F02">
        <w:t>differences</w:t>
      </w:r>
      <w:r w:rsidRPr="00987F02">
        <w:rPr>
          <w:spacing w:val="-4"/>
        </w:rPr>
        <w:t xml:space="preserve"> </w:t>
      </w:r>
      <w:r w:rsidRPr="00987F02">
        <w:t>between</w:t>
      </w:r>
      <w:r w:rsidRPr="00987F02">
        <w:rPr>
          <w:spacing w:val="-3"/>
        </w:rPr>
        <w:t xml:space="preserve"> </w:t>
      </w:r>
      <w:r w:rsidRPr="00987F02">
        <w:t>the</w:t>
      </w:r>
      <w:r w:rsidRPr="00987F02">
        <w:rPr>
          <w:spacing w:val="-3"/>
        </w:rPr>
        <w:t xml:space="preserve"> </w:t>
      </w:r>
      <w:r w:rsidRPr="00987F02">
        <w:t>Group's</w:t>
      </w:r>
      <w:r w:rsidRPr="00987F02">
        <w:rPr>
          <w:spacing w:val="-4"/>
        </w:rPr>
        <w:t xml:space="preserve"> </w:t>
      </w:r>
      <w:r w:rsidRPr="00987F02">
        <w:t>and</w:t>
      </w:r>
      <w:r w:rsidRPr="00987F02">
        <w:rPr>
          <w:spacing w:val="-3"/>
        </w:rPr>
        <w:t xml:space="preserve"> </w:t>
      </w:r>
      <w:r w:rsidRPr="00987F02">
        <w:t>the</w:t>
      </w:r>
      <w:r w:rsidRPr="00987F02">
        <w:rPr>
          <w:spacing w:val="-3"/>
        </w:rPr>
        <w:t xml:space="preserve"> </w:t>
      </w:r>
      <w:r w:rsidRPr="00987F02">
        <w:t>Parent</w:t>
      </w:r>
      <w:r w:rsidRPr="00987F02">
        <w:rPr>
          <w:spacing w:val="-3"/>
        </w:rPr>
        <w:t xml:space="preserve"> </w:t>
      </w:r>
      <w:r w:rsidRPr="00987F02">
        <w:t>Company's</w:t>
      </w:r>
      <w:r w:rsidRPr="00987F02">
        <w:rPr>
          <w:spacing w:val="-4"/>
        </w:rPr>
        <w:t xml:space="preserve"> </w:t>
      </w:r>
      <w:r w:rsidRPr="00987F02">
        <w:t>accounting principles</w:t>
      </w:r>
      <w:r w:rsidRPr="00987F02">
        <w:rPr>
          <w:spacing w:val="-4"/>
        </w:rPr>
        <w:t xml:space="preserve"> </w:t>
      </w:r>
      <w:r w:rsidRPr="00987F02">
        <w:t>are set out below. The stated accounting principles for the Parent Company have been applied consistently for all periods presented in the Parent Company's financial statements.</w:t>
      </w:r>
    </w:p>
    <w:p w14:paraId="3C65049F" w14:textId="77777777" w:rsidR="00987DAC" w:rsidRPr="00987F02" w:rsidRDefault="00987DAC">
      <w:pPr>
        <w:pStyle w:val="Brdtext"/>
        <w:spacing w:before="19"/>
      </w:pPr>
    </w:p>
    <w:p w14:paraId="3C6504A0" w14:textId="77777777" w:rsidR="00987DAC" w:rsidRPr="00987F02" w:rsidRDefault="00016B4C">
      <w:pPr>
        <w:pStyle w:val="Brdtext"/>
        <w:spacing w:before="1"/>
        <w:ind w:left="118"/>
      </w:pPr>
      <w:r w:rsidRPr="00987F02">
        <w:t>The</w:t>
      </w:r>
      <w:r w:rsidRPr="00987F02">
        <w:rPr>
          <w:spacing w:val="-4"/>
        </w:rPr>
        <w:t xml:space="preserve"> </w:t>
      </w:r>
      <w:r w:rsidRPr="00987F02">
        <w:t>differences</w:t>
      </w:r>
      <w:r w:rsidRPr="00987F02">
        <w:rPr>
          <w:spacing w:val="-3"/>
        </w:rPr>
        <w:t xml:space="preserve"> </w:t>
      </w:r>
      <w:r w:rsidRPr="00987F02">
        <w:t>between</w:t>
      </w:r>
      <w:r w:rsidRPr="00987F02">
        <w:rPr>
          <w:spacing w:val="-4"/>
        </w:rPr>
        <w:t xml:space="preserve"> </w:t>
      </w:r>
      <w:r w:rsidRPr="00987F02">
        <w:t>the</w:t>
      </w:r>
      <w:r w:rsidRPr="00987F02">
        <w:rPr>
          <w:spacing w:val="-5"/>
        </w:rPr>
        <w:t xml:space="preserve"> </w:t>
      </w:r>
      <w:r w:rsidRPr="00987F02">
        <w:t>Parent</w:t>
      </w:r>
      <w:r w:rsidRPr="00987F02">
        <w:rPr>
          <w:spacing w:val="-4"/>
        </w:rPr>
        <w:t xml:space="preserve"> </w:t>
      </w:r>
      <w:r w:rsidRPr="00987F02">
        <w:t>Company's</w:t>
      </w:r>
      <w:r w:rsidRPr="00987F02">
        <w:rPr>
          <w:spacing w:val="-6"/>
        </w:rPr>
        <w:t xml:space="preserve"> </w:t>
      </w:r>
      <w:r w:rsidRPr="00987F02">
        <w:t>and</w:t>
      </w:r>
      <w:r w:rsidRPr="00987F02">
        <w:rPr>
          <w:spacing w:val="-5"/>
        </w:rPr>
        <w:t xml:space="preserve"> </w:t>
      </w:r>
      <w:r w:rsidRPr="00987F02">
        <w:t>the</w:t>
      </w:r>
      <w:r w:rsidRPr="00987F02">
        <w:rPr>
          <w:spacing w:val="1"/>
        </w:rPr>
        <w:t xml:space="preserve"> </w:t>
      </w:r>
      <w:r w:rsidRPr="00987F02">
        <w:t>Group's</w:t>
      </w:r>
      <w:r w:rsidRPr="00987F02">
        <w:rPr>
          <w:spacing w:val="-3"/>
        </w:rPr>
        <w:t xml:space="preserve"> </w:t>
      </w:r>
      <w:r w:rsidRPr="00987F02">
        <w:t>accounting</w:t>
      </w:r>
      <w:r w:rsidRPr="00987F02">
        <w:rPr>
          <w:spacing w:val="-4"/>
        </w:rPr>
        <w:t xml:space="preserve"> </w:t>
      </w:r>
      <w:r w:rsidRPr="00987F02">
        <w:t>principles</w:t>
      </w:r>
      <w:r w:rsidRPr="00987F02">
        <w:rPr>
          <w:spacing w:val="-4"/>
        </w:rPr>
        <w:t xml:space="preserve"> </w:t>
      </w:r>
      <w:r w:rsidRPr="00987F02">
        <w:t>are</w:t>
      </w:r>
      <w:r w:rsidRPr="00987F02">
        <w:rPr>
          <w:spacing w:val="-4"/>
        </w:rPr>
        <w:t xml:space="preserve"> </w:t>
      </w:r>
      <w:r w:rsidRPr="00987F02">
        <w:t>described</w:t>
      </w:r>
      <w:r w:rsidRPr="00987F02">
        <w:rPr>
          <w:spacing w:val="-6"/>
        </w:rPr>
        <w:t xml:space="preserve"> </w:t>
      </w:r>
      <w:r w:rsidRPr="00987F02">
        <w:rPr>
          <w:spacing w:val="-2"/>
        </w:rPr>
        <w:t>below:</w:t>
      </w:r>
    </w:p>
    <w:p w14:paraId="3C6504A1" w14:textId="77777777" w:rsidR="00987DAC" w:rsidRPr="00987F02" w:rsidRDefault="00987DAC">
      <w:pPr>
        <w:pStyle w:val="Brdtext"/>
        <w:spacing w:before="82"/>
      </w:pPr>
    </w:p>
    <w:p w14:paraId="3C6504A2" w14:textId="77777777" w:rsidR="00987DAC" w:rsidRPr="00987F02" w:rsidRDefault="00016B4C">
      <w:pPr>
        <w:pStyle w:val="Rubrik8"/>
        <w:spacing w:before="1"/>
      </w:pPr>
      <w:r w:rsidRPr="00987F02">
        <w:t>Classification</w:t>
      </w:r>
      <w:r w:rsidRPr="00987F02">
        <w:rPr>
          <w:spacing w:val="-6"/>
        </w:rPr>
        <w:t xml:space="preserve"> </w:t>
      </w:r>
      <w:r w:rsidRPr="00987F02">
        <w:t>and</w:t>
      </w:r>
      <w:r w:rsidRPr="00987F02">
        <w:rPr>
          <w:spacing w:val="-3"/>
        </w:rPr>
        <w:t xml:space="preserve"> </w:t>
      </w:r>
      <w:r w:rsidRPr="00987F02">
        <w:rPr>
          <w:spacing w:val="-2"/>
        </w:rPr>
        <w:t>layouts</w:t>
      </w:r>
    </w:p>
    <w:p w14:paraId="3C6504A3" w14:textId="77777777" w:rsidR="00987DAC" w:rsidRPr="00987F02" w:rsidRDefault="00016B4C">
      <w:pPr>
        <w:pStyle w:val="Brdtext"/>
        <w:spacing w:before="100" w:line="264" w:lineRule="auto"/>
        <w:ind w:left="118" w:right="463"/>
      </w:pPr>
      <w:r w:rsidRPr="00987F02">
        <w:t>The Parent Company's income statement and balance sheet are laid out according to the schedules in the Swedish</w:t>
      </w:r>
      <w:r w:rsidRPr="00987F02">
        <w:rPr>
          <w:spacing w:val="-4"/>
        </w:rPr>
        <w:t xml:space="preserve"> </w:t>
      </w:r>
      <w:r w:rsidRPr="00987F02">
        <w:t>Annual</w:t>
      </w:r>
      <w:r w:rsidRPr="00987F02">
        <w:rPr>
          <w:spacing w:val="-3"/>
        </w:rPr>
        <w:t xml:space="preserve"> </w:t>
      </w:r>
      <w:r w:rsidRPr="00987F02">
        <w:t>Accounts</w:t>
      </w:r>
      <w:r w:rsidRPr="00987F02">
        <w:rPr>
          <w:spacing w:val="-2"/>
        </w:rPr>
        <w:t xml:space="preserve"> </w:t>
      </w:r>
      <w:r w:rsidRPr="00987F02">
        <w:t>Act.</w:t>
      </w:r>
      <w:r w:rsidRPr="00987F02">
        <w:rPr>
          <w:spacing w:val="-4"/>
        </w:rPr>
        <w:t xml:space="preserve"> </w:t>
      </w:r>
      <w:r w:rsidRPr="00987F02">
        <w:t>The</w:t>
      </w:r>
      <w:r w:rsidRPr="00987F02">
        <w:rPr>
          <w:spacing w:val="-3"/>
        </w:rPr>
        <w:t xml:space="preserve"> </w:t>
      </w:r>
      <w:r w:rsidRPr="00987F02">
        <w:t>difference</w:t>
      </w:r>
      <w:r w:rsidRPr="00987F02">
        <w:rPr>
          <w:spacing w:val="-3"/>
        </w:rPr>
        <w:t xml:space="preserve"> </w:t>
      </w:r>
      <w:r w:rsidRPr="00987F02">
        <w:t>compared</w:t>
      </w:r>
      <w:r w:rsidRPr="00987F02">
        <w:rPr>
          <w:spacing w:val="-4"/>
        </w:rPr>
        <w:t xml:space="preserve"> </w:t>
      </w:r>
      <w:r w:rsidRPr="00987F02">
        <w:t>to</w:t>
      </w:r>
      <w:r w:rsidRPr="00987F02">
        <w:rPr>
          <w:spacing w:val="-3"/>
        </w:rPr>
        <w:t xml:space="preserve"> </w:t>
      </w:r>
      <w:r w:rsidRPr="00987F02">
        <w:t>IAS</w:t>
      </w:r>
      <w:r w:rsidRPr="00987F02">
        <w:rPr>
          <w:spacing w:val="-3"/>
        </w:rPr>
        <w:t xml:space="preserve"> </w:t>
      </w:r>
      <w:r w:rsidRPr="00987F02">
        <w:t>1</w:t>
      </w:r>
      <w:r w:rsidRPr="00987F02">
        <w:rPr>
          <w:spacing w:val="-3"/>
        </w:rPr>
        <w:t xml:space="preserve"> </w:t>
      </w:r>
      <w:r w:rsidRPr="00987F02">
        <w:t>Presentation</w:t>
      </w:r>
      <w:r w:rsidRPr="00987F02">
        <w:rPr>
          <w:spacing w:val="-4"/>
        </w:rPr>
        <w:t xml:space="preserve"> </w:t>
      </w:r>
      <w:r w:rsidRPr="00987F02">
        <w:t>of</w:t>
      </w:r>
      <w:r w:rsidRPr="00987F02">
        <w:rPr>
          <w:spacing w:val="-3"/>
        </w:rPr>
        <w:t xml:space="preserve"> </w:t>
      </w:r>
      <w:r w:rsidRPr="00987F02">
        <w:t>Financial</w:t>
      </w:r>
      <w:r w:rsidRPr="00987F02">
        <w:rPr>
          <w:spacing w:val="-4"/>
        </w:rPr>
        <w:t xml:space="preserve"> </w:t>
      </w:r>
      <w:r w:rsidRPr="00987F02">
        <w:t>Statements</w:t>
      </w:r>
      <w:r w:rsidRPr="00987F02">
        <w:rPr>
          <w:spacing w:val="-2"/>
        </w:rPr>
        <w:t xml:space="preserve"> </w:t>
      </w:r>
      <w:r w:rsidRPr="00987F02">
        <w:t>that</w:t>
      </w:r>
      <w:r w:rsidRPr="00987F02">
        <w:rPr>
          <w:spacing w:val="-3"/>
        </w:rPr>
        <w:t xml:space="preserve"> </w:t>
      </w:r>
      <w:r w:rsidRPr="00987F02">
        <w:t>was applied during the preparation of the Group's financial statements is primarily the presentation of financial income/costs and equity.</w:t>
      </w:r>
    </w:p>
    <w:p w14:paraId="3C6504A4" w14:textId="77777777" w:rsidR="00987DAC" w:rsidRPr="00987F02" w:rsidRDefault="00987DAC">
      <w:pPr>
        <w:pStyle w:val="Brdtext"/>
        <w:spacing w:before="61"/>
      </w:pPr>
    </w:p>
    <w:p w14:paraId="3C6504A5" w14:textId="77777777" w:rsidR="00987DAC" w:rsidRPr="00987F02" w:rsidRDefault="00016B4C">
      <w:pPr>
        <w:pStyle w:val="Rubrik8"/>
      </w:pPr>
      <w:r w:rsidRPr="00987F02">
        <w:rPr>
          <w:spacing w:val="-2"/>
        </w:rPr>
        <w:t>Subsidiaries</w:t>
      </w:r>
    </w:p>
    <w:p w14:paraId="3C6504A6" w14:textId="20C6BCEE" w:rsidR="00987DAC" w:rsidRPr="00987F02" w:rsidRDefault="00016B4C">
      <w:pPr>
        <w:pStyle w:val="Brdtext"/>
        <w:spacing w:before="100" w:line="264" w:lineRule="auto"/>
        <w:ind w:left="118" w:right="463"/>
      </w:pPr>
      <w:r w:rsidRPr="00987F02">
        <w:t>Shares in subsidiaries are recogni</w:t>
      </w:r>
      <w:r w:rsidR="000C5CCA">
        <w:t>z</w:t>
      </w:r>
      <w:r w:rsidRPr="00987F02">
        <w:t>ed at acquisition cost. Dividends from subsidiaries are recogni</w:t>
      </w:r>
      <w:r w:rsidR="000C5CCA">
        <w:t>z</w:t>
      </w:r>
      <w:r w:rsidRPr="00987F02">
        <w:t>ed in the income</w:t>
      </w:r>
      <w:r w:rsidRPr="00987F02">
        <w:rPr>
          <w:spacing w:val="-4"/>
        </w:rPr>
        <w:t xml:space="preserve"> </w:t>
      </w:r>
      <w:r w:rsidRPr="00987F02">
        <w:t>statement</w:t>
      </w:r>
      <w:r w:rsidRPr="00987F02">
        <w:rPr>
          <w:spacing w:val="-2"/>
        </w:rPr>
        <w:t xml:space="preserve"> </w:t>
      </w:r>
      <w:r w:rsidRPr="00987F02">
        <w:t>when</w:t>
      </w:r>
      <w:r w:rsidRPr="00987F02">
        <w:rPr>
          <w:spacing w:val="-2"/>
        </w:rPr>
        <w:t xml:space="preserve"> </w:t>
      </w:r>
      <w:r w:rsidRPr="00987F02">
        <w:t>the</w:t>
      </w:r>
      <w:r w:rsidRPr="00987F02">
        <w:rPr>
          <w:spacing w:val="-2"/>
        </w:rPr>
        <w:t xml:space="preserve"> </w:t>
      </w:r>
      <w:r w:rsidRPr="00987F02">
        <w:t>right</w:t>
      </w:r>
      <w:r w:rsidRPr="00987F02">
        <w:rPr>
          <w:spacing w:val="-2"/>
        </w:rPr>
        <w:t xml:space="preserve"> </w:t>
      </w:r>
      <w:r w:rsidRPr="00987F02">
        <w:t>to</w:t>
      </w:r>
      <w:r w:rsidRPr="00987F02">
        <w:rPr>
          <w:spacing w:val="-2"/>
        </w:rPr>
        <w:t xml:space="preserve"> </w:t>
      </w:r>
      <w:r w:rsidRPr="00987F02">
        <w:t>receive</w:t>
      </w:r>
      <w:r w:rsidRPr="00987F02">
        <w:rPr>
          <w:spacing w:val="-4"/>
        </w:rPr>
        <w:t xml:space="preserve"> </w:t>
      </w:r>
      <w:r w:rsidRPr="00987F02">
        <w:t>dividends</w:t>
      </w:r>
      <w:r w:rsidRPr="00987F02">
        <w:rPr>
          <w:spacing w:val="-1"/>
        </w:rPr>
        <w:t xml:space="preserve"> </w:t>
      </w:r>
      <w:r w:rsidRPr="00987F02">
        <w:t>can</w:t>
      </w:r>
      <w:r w:rsidRPr="00987F02">
        <w:rPr>
          <w:spacing w:val="-2"/>
        </w:rPr>
        <w:t xml:space="preserve"> </w:t>
      </w:r>
      <w:r w:rsidRPr="00987F02">
        <w:t>be</w:t>
      </w:r>
      <w:r w:rsidRPr="00987F02">
        <w:rPr>
          <w:spacing w:val="-4"/>
        </w:rPr>
        <w:t xml:space="preserve"> </w:t>
      </w:r>
      <w:r w:rsidRPr="00987F02">
        <w:t>assessed</w:t>
      </w:r>
      <w:r w:rsidRPr="00987F02">
        <w:rPr>
          <w:spacing w:val="-2"/>
        </w:rPr>
        <w:t xml:space="preserve"> </w:t>
      </w:r>
      <w:r w:rsidRPr="00987F02">
        <w:t>to</w:t>
      </w:r>
      <w:r w:rsidRPr="00987F02">
        <w:rPr>
          <w:spacing w:val="-2"/>
        </w:rPr>
        <w:t xml:space="preserve"> </w:t>
      </w:r>
      <w:r w:rsidRPr="00987F02">
        <w:t>be</w:t>
      </w:r>
      <w:r w:rsidRPr="00987F02">
        <w:rPr>
          <w:spacing w:val="-4"/>
        </w:rPr>
        <w:t xml:space="preserve"> </w:t>
      </w:r>
      <w:r w:rsidRPr="00987F02">
        <w:t>safe</w:t>
      </w:r>
      <w:r w:rsidRPr="00987F02">
        <w:rPr>
          <w:spacing w:val="-2"/>
        </w:rPr>
        <w:t xml:space="preserve"> </w:t>
      </w:r>
      <w:r w:rsidRPr="00987F02">
        <w:t>and</w:t>
      </w:r>
      <w:r w:rsidRPr="00987F02">
        <w:rPr>
          <w:spacing w:val="-4"/>
        </w:rPr>
        <w:t xml:space="preserve"> </w:t>
      </w:r>
      <w:r w:rsidRPr="00987F02">
        <w:t>can</w:t>
      </w:r>
      <w:r w:rsidRPr="00987F02">
        <w:rPr>
          <w:spacing w:val="-4"/>
        </w:rPr>
        <w:t xml:space="preserve"> </w:t>
      </w:r>
      <w:r w:rsidRPr="00987F02">
        <w:t>be</w:t>
      </w:r>
      <w:r w:rsidRPr="00987F02">
        <w:rPr>
          <w:spacing w:val="-2"/>
        </w:rPr>
        <w:t xml:space="preserve"> </w:t>
      </w:r>
      <w:r w:rsidRPr="00987F02">
        <w:t>reliably</w:t>
      </w:r>
      <w:r w:rsidRPr="00987F02">
        <w:rPr>
          <w:spacing w:val="-1"/>
        </w:rPr>
        <w:t xml:space="preserve"> </w:t>
      </w:r>
      <w:r w:rsidRPr="00987F02">
        <w:t>calculated.</w:t>
      </w:r>
    </w:p>
    <w:p w14:paraId="3C6504A7" w14:textId="77777777" w:rsidR="00987DAC" w:rsidRPr="008F62F4" w:rsidRDefault="00987DAC">
      <w:pPr>
        <w:pStyle w:val="Brdtext"/>
        <w:spacing w:before="60"/>
      </w:pPr>
    </w:p>
    <w:p w14:paraId="3C6504A8" w14:textId="77777777" w:rsidR="00987DAC" w:rsidRPr="008F62F4" w:rsidRDefault="00016B4C">
      <w:pPr>
        <w:pStyle w:val="Rubrik8"/>
      </w:pPr>
      <w:r w:rsidRPr="008F62F4">
        <w:t>Financial</w:t>
      </w:r>
      <w:r w:rsidRPr="008F62F4">
        <w:rPr>
          <w:spacing w:val="-4"/>
        </w:rPr>
        <w:t xml:space="preserve"> </w:t>
      </w:r>
      <w:r w:rsidRPr="008F62F4">
        <w:rPr>
          <w:spacing w:val="-2"/>
        </w:rPr>
        <w:t>instruments</w:t>
      </w:r>
    </w:p>
    <w:p w14:paraId="3C6504A9" w14:textId="2B693F55" w:rsidR="00987DAC" w:rsidRPr="008F62F4" w:rsidRDefault="00016B4C">
      <w:pPr>
        <w:pStyle w:val="Brdtext"/>
        <w:spacing w:before="100" w:line="264" w:lineRule="auto"/>
        <w:ind w:left="118" w:right="535"/>
      </w:pPr>
      <w:r w:rsidRPr="008F62F4">
        <w:t>The Parent Company applies the exemption from fully applying the rules of IFRS 9 Financial Instruments, contained</w:t>
      </w:r>
      <w:r w:rsidRPr="008F62F4">
        <w:rPr>
          <w:spacing w:val="-3"/>
        </w:rPr>
        <w:t xml:space="preserve"> </w:t>
      </w:r>
      <w:r w:rsidRPr="008F62F4">
        <w:t>in</w:t>
      </w:r>
      <w:r w:rsidRPr="008F62F4">
        <w:rPr>
          <w:spacing w:val="-4"/>
        </w:rPr>
        <w:t xml:space="preserve"> </w:t>
      </w:r>
      <w:r w:rsidRPr="008F62F4">
        <w:t>RFR</w:t>
      </w:r>
      <w:r w:rsidRPr="008F62F4">
        <w:rPr>
          <w:spacing w:val="-3"/>
        </w:rPr>
        <w:t xml:space="preserve"> </w:t>
      </w:r>
      <w:r w:rsidRPr="008F62F4">
        <w:t>2.</w:t>
      </w:r>
      <w:r w:rsidRPr="008F62F4">
        <w:rPr>
          <w:spacing w:val="-3"/>
        </w:rPr>
        <w:t xml:space="preserve"> </w:t>
      </w:r>
      <w:r w:rsidRPr="008F62F4">
        <w:t>Financial</w:t>
      </w:r>
      <w:r w:rsidRPr="008F62F4">
        <w:rPr>
          <w:spacing w:val="-4"/>
        </w:rPr>
        <w:t xml:space="preserve"> </w:t>
      </w:r>
      <w:r w:rsidRPr="008F62F4">
        <w:t>fixed</w:t>
      </w:r>
      <w:r w:rsidRPr="008F62F4">
        <w:rPr>
          <w:spacing w:val="-3"/>
        </w:rPr>
        <w:t xml:space="preserve"> </w:t>
      </w:r>
      <w:r w:rsidRPr="008F62F4">
        <w:t>assets</w:t>
      </w:r>
      <w:r w:rsidRPr="008F62F4">
        <w:rPr>
          <w:spacing w:val="-2"/>
        </w:rPr>
        <w:t xml:space="preserve"> </w:t>
      </w:r>
      <w:r w:rsidRPr="008F62F4">
        <w:t>are</w:t>
      </w:r>
      <w:r w:rsidRPr="008F62F4">
        <w:rPr>
          <w:spacing w:val="-3"/>
        </w:rPr>
        <w:t xml:space="preserve"> </w:t>
      </w:r>
      <w:r w:rsidRPr="008F62F4">
        <w:t>measured</w:t>
      </w:r>
      <w:r w:rsidRPr="008F62F4">
        <w:rPr>
          <w:spacing w:val="-4"/>
        </w:rPr>
        <w:t xml:space="preserve"> </w:t>
      </w:r>
      <w:r w:rsidRPr="008F62F4">
        <w:t>at</w:t>
      </w:r>
      <w:r w:rsidRPr="008F62F4">
        <w:rPr>
          <w:spacing w:val="-4"/>
        </w:rPr>
        <w:t xml:space="preserve"> </w:t>
      </w:r>
      <w:r w:rsidRPr="008F62F4">
        <w:t>acquisition</w:t>
      </w:r>
      <w:r w:rsidRPr="008F62F4">
        <w:rPr>
          <w:spacing w:val="-3"/>
        </w:rPr>
        <w:t xml:space="preserve"> </w:t>
      </w:r>
      <w:r w:rsidRPr="008F62F4">
        <w:t>cost</w:t>
      </w:r>
      <w:r w:rsidRPr="008F62F4">
        <w:rPr>
          <w:spacing w:val="-3"/>
        </w:rPr>
        <w:t xml:space="preserve"> </w:t>
      </w:r>
      <w:r w:rsidRPr="008F62F4">
        <w:t>with</w:t>
      </w:r>
      <w:r w:rsidRPr="008F62F4">
        <w:rPr>
          <w:spacing w:val="-3"/>
        </w:rPr>
        <w:t xml:space="preserve"> </w:t>
      </w:r>
      <w:r w:rsidRPr="008F62F4">
        <w:t>deduction</w:t>
      </w:r>
      <w:r w:rsidRPr="008F62F4">
        <w:rPr>
          <w:spacing w:val="-4"/>
        </w:rPr>
        <w:t xml:space="preserve"> </w:t>
      </w:r>
      <w:r w:rsidRPr="008F62F4">
        <w:t>for</w:t>
      </w:r>
      <w:r w:rsidRPr="008F62F4">
        <w:rPr>
          <w:spacing w:val="-3"/>
        </w:rPr>
        <w:t xml:space="preserve"> </w:t>
      </w:r>
      <w:r w:rsidRPr="008F62F4">
        <w:t>any</w:t>
      </w:r>
      <w:r w:rsidRPr="008F62F4">
        <w:rPr>
          <w:spacing w:val="-2"/>
        </w:rPr>
        <w:t xml:space="preserve"> </w:t>
      </w:r>
      <w:r w:rsidRPr="008F62F4">
        <w:t>impairment. Financial current assets are measured at the lowest of acquisition cost and net reali</w:t>
      </w:r>
      <w:r w:rsidR="0074279F">
        <w:t>z</w:t>
      </w:r>
      <w:r w:rsidRPr="008F62F4">
        <w:t xml:space="preserve">able value. Financial liabilities are measured at accrued acquisition value. Financial guarantee agreements are </w:t>
      </w:r>
      <w:r w:rsidR="00457D97">
        <w:t>recognize</w:t>
      </w:r>
      <w:r w:rsidRPr="008F62F4">
        <w:t>d in accordance with the rules for provisions.</w:t>
      </w:r>
    </w:p>
    <w:p w14:paraId="3C6504AA" w14:textId="77777777" w:rsidR="00987DAC" w:rsidRPr="008F62F4" w:rsidRDefault="00987DAC">
      <w:pPr>
        <w:pStyle w:val="Brdtext"/>
        <w:spacing w:before="61"/>
      </w:pPr>
    </w:p>
    <w:p w14:paraId="3C6504AB" w14:textId="77777777" w:rsidR="00987DAC" w:rsidRPr="008F62F4" w:rsidRDefault="00016B4C">
      <w:pPr>
        <w:pStyle w:val="Rubrik8"/>
      </w:pPr>
      <w:r w:rsidRPr="008F62F4">
        <w:rPr>
          <w:spacing w:val="-2"/>
        </w:rPr>
        <w:t>Leases</w:t>
      </w:r>
    </w:p>
    <w:p w14:paraId="3C6504AC" w14:textId="7D6C5F5C" w:rsidR="00987DAC" w:rsidRPr="008F62F4" w:rsidRDefault="000B2DDB">
      <w:pPr>
        <w:pStyle w:val="Brdtext"/>
        <w:tabs>
          <w:tab w:val="left" w:pos="8760"/>
        </w:tabs>
        <w:spacing w:before="101" w:line="264" w:lineRule="auto"/>
        <w:ind w:left="118" w:right="635"/>
      </w:pPr>
      <w:r w:rsidRPr="000B2DDB">
        <w:t>All leases in the Parent Company are expensed on a straight-line basis over the lease term. The Parent Company has not currently entered into any significant leases</w:t>
      </w:r>
      <w:r w:rsidR="00016B4C" w:rsidRPr="008F62F4">
        <w:rPr>
          <w:spacing w:val="-10"/>
        </w:rPr>
        <w:t>.</w:t>
      </w:r>
    </w:p>
    <w:p w14:paraId="3C6504AD" w14:textId="77777777" w:rsidR="00987DAC" w:rsidRPr="009C6182" w:rsidRDefault="00987DAC">
      <w:pPr>
        <w:pStyle w:val="Brdtext"/>
        <w:spacing w:before="62"/>
      </w:pPr>
    </w:p>
    <w:p w14:paraId="3C6504AE" w14:textId="77777777" w:rsidR="00987DAC" w:rsidRPr="009C6182" w:rsidRDefault="00016B4C">
      <w:pPr>
        <w:pStyle w:val="Rubrik8"/>
        <w:spacing w:before="1"/>
      </w:pPr>
      <w:r w:rsidRPr="009C6182">
        <w:t>Group</w:t>
      </w:r>
      <w:r w:rsidRPr="009C6182">
        <w:rPr>
          <w:spacing w:val="-3"/>
        </w:rPr>
        <w:t xml:space="preserve"> </w:t>
      </w:r>
      <w:r w:rsidRPr="009C6182">
        <w:t>contributions</w:t>
      </w:r>
      <w:r w:rsidRPr="009C6182">
        <w:rPr>
          <w:spacing w:val="-2"/>
        </w:rPr>
        <w:t xml:space="preserve"> </w:t>
      </w:r>
      <w:r w:rsidRPr="009C6182">
        <w:t>and</w:t>
      </w:r>
      <w:r w:rsidRPr="009C6182">
        <w:rPr>
          <w:spacing w:val="-2"/>
        </w:rPr>
        <w:t xml:space="preserve"> </w:t>
      </w:r>
      <w:r w:rsidRPr="009C6182">
        <w:t>shareholder</w:t>
      </w:r>
      <w:r w:rsidRPr="009C6182">
        <w:rPr>
          <w:spacing w:val="-4"/>
        </w:rPr>
        <w:t xml:space="preserve"> </w:t>
      </w:r>
      <w:r w:rsidRPr="009C6182">
        <w:rPr>
          <w:spacing w:val="-2"/>
        </w:rPr>
        <w:t>contributions</w:t>
      </w:r>
    </w:p>
    <w:p w14:paraId="3C6504B1" w14:textId="52B6D160" w:rsidR="00987DAC" w:rsidRPr="00633216" w:rsidRDefault="00016B4C" w:rsidP="00564FD9">
      <w:pPr>
        <w:pStyle w:val="Brdtext"/>
        <w:spacing w:before="100" w:line="264" w:lineRule="auto"/>
        <w:ind w:left="118" w:right="535"/>
        <w:rPr>
          <w:sz w:val="24"/>
        </w:rPr>
      </w:pPr>
      <w:r w:rsidRPr="00633216">
        <w:t>Group</w:t>
      </w:r>
      <w:r w:rsidRPr="00633216">
        <w:rPr>
          <w:spacing w:val="-4"/>
        </w:rPr>
        <w:t xml:space="preserve"> </w:t>
      </w:r>
      <w:r w:rsidRPr="00633216">
        <w:t>contributions</w:t>
      </w:r>
      <w:r w:rsidRPr="00633216">
        <w:rPr>
          <w:spacing w:val="-6"/>
        </w:rPr>
        <w:t xml:space="preserve"> </w:t>
      </w:r>
      <w:r w:rsidRPr="00633216">
        <w:t>are</w:t>
      </w:r>
      <w:r w:rsidRPr="00633216">
        <w:rPr>
          <w:spacing w:val="-4"/>
        </w:rPr>
        <w:t xml:space="preserve"> </w:t>
      </w:r>
      <w:r w:rsidR="00457D97" w:rsidRPr="00633216">
        <w:t>recognize</w:t>
      </w:r>
      <w:r w:rsidRPr="00633216">
        <w:t>d as</w:t>
      </w:r>
      <w:r w:rsidRPr="00633216">
        <w:rPr>
          <w:spacing w:val="-3"/>
        </w:rPr>
        <w:t xml:space="preserve"> </w:t>
      </w:r>
      <w:r w:rsidRPr="00633216">
        <w:t>appropriations</w:t>
      </w:r>
      <w:r w:rsidRPr="00633216">
        <w:rPr>
          <w:spacing w:val="-6"/>
        </w:rPr>
        <w:t xml:space="preserve"> </w:t>
      </w:r>
      <w:r w:rsidRPr="00633216">
        <w:t>in</w:t>
      </w:r>
      <w:r w:rsidRPr="00633216">
        <w:rPr>
          <w:spacing w:val="-6"/>
        </w:rPr>
        <w:t xml:space="preserve"> </w:t>
      </w:r>
      <w:r w:rsidRPr="00633216">
        <w:t>the</w:t>
      </w:r>
      <w:r w:rsidRPr="00633216">
        <w:rPr>
          <w:spacing w:val="-6"/>
        </w:rPr>
        <w:t xml:space="preserve"> </w:t>
      </w:r>
      <w:r w:rsidRPr="00633216">
        <w:t>income</w:t>
      </w:r>
      <w:r w:rsidRPr="00633216">
        <w:rPr>
          <w:spacing w:val="-6"/>
        </w:rPr>
        <w:t xml:space="preserve"> </w:t>
      </w:r>
      <w:r w:rsidRPr="00633216">
        <w:t>statement.</w:t>
      </w:r>
      <w:r w:rsidRPr="00633216">
        <w:rPr>
          <w:spacing w:val="-4"/>
        </w:rPr>
        <w:t xml:space="preserve"> </w:t>
      </w:r>
      <w:r w:rsidRPr="00633216">
        <w:t>Shareholder</w:t>
      </w:r>
      <w:r w:rsidRPr="00633216">
        <w:rPr>
          <w:spacing w:val="-4"/>
        </w:rPr>
        <w:t xml:space="preserve"> </w:t>
      </w:r>
      <w:r w:rsidRPr="00633216">
        <w:t xml:space="preserve">contributions provided are </w:t>
      </w:r>
      <w:r w:rsidR="00457D97" w:rsidRPr="00633216">
        <w:t>recognize</w:t>
      </w:r>
      <w:r w:rsidRPr="00633216">
        <w:t>d as an increase in the item shares in Group companies at the donor.</w:t>
      </w:r>
    </w:p>
    <w:p w14:paraId="5DC6F58F" w14:textId="77777777" w:rsidR="00081005" w:rsidRPr="00633216" w:rsidRDefault="00081005">
      <w:pPr>
        <w:pStyle w:val="Rubrik5"/>
      </w:pPr>
    </w:p>
    <w:p w14:paraId="3C6504B3" w14:textId="23FA8B83" w:rsidR="00987DAC" w:rsidRPr="00633216" w:rsidRDefault="00016B4C">
      <w:pPr>
        <w:pStyle w:val="Rubrik5"/>
        <w:rPr>
          <w:spacing w:val="-2"/>
        </w:rPr>
      </w:pPr>
      <w:r w:rsidRPr="00633216">
        <w:t>Note</w:t>
      </w:r>
      <w:r w:rsidRPr="00633216">
        <w:rPr>
          <w:spacing w:val="-3"/>
        </w:rPr>
        <w:t xml:space="preserve"> </w:t>
      </w:r>
      <w:r w:rsidRPr="00633216">
        <w:t>2</w:t>
      </w:r>
      <w:r w:rsidRPr="00633216">
        <w:rPr>
          <w:spacing w:val="63"/>
        </w:rPr>
        <w:t xml:space="preserve"> </w:t>
      </w:r>
      <w:r w:rsidRPr="00633216">
        <w:t>Information</w:t>
      </w:r>
      <w:r w:rsidRPr="00633216">
        <w:rPr>
          <w:spacing w:val="-2"/>
        </w:rPr>
        <w:t xml:space="preserve"> </w:t>
      </w:r>
      <w:r w:rsidRPr="00633216">
        <w:t>on</w:t>
      </w:r>
      <w:r w:rsidRPr="00633216">
        <w:rPr>
          <w:spacing w:val="-3"/>
        </w:rPr>
        <w:t xml:space="preserve"> </w:t>
      </w:r>
      <w:r w:rsidRPr="00633216">
        <w:t>purchases</w:t>
      </w:r>
      <w:r w:rsidRPr="00633216">
        <w:rPr>
          <w:spacing w:val="-2"/>
        </w:rPr>
        <w:t xml:space="preserve"> </w:t>
      </w:r>
      <w:r w:rsidRPr="00633216">
        <w:t>and</w:t>
      </w:r>
      <w:r w:rsidRPr="00633216">
        <w:rPr>
          <w:spacing w:val="-5"/>
        </w:rPr>
        <w:t xml:space="preserve"> </w:t>
      </w:r>
      <w:r w:rsidRPr="00633216">
        <w:t>sales</w:t>
      </w:r>
      <w:r w:rsidRPr="00633216">
        <w:rPr>
          <w:spacing w:val="-3"/>
        </w:rPr>
        <w:t xml:space="preserve"> </w:t>
      </w:r>
      <w:r w:rsidRPr="00633216">
        <w:t>within</w:t>
      </w:r>
      <w:r w:rsidRPr="00633216">
        <w:rPr>
          <w:spacing w:val="-2"/>
        </w:rPr>
        <w:t xml:space="preserve"> </w:t>
      </w:r>
      <w:r w:rsidRPr="00633216">
        <w:t>the</w:t>
      </w:r>
      <w:r w:rsidRPr="00633216">
        <w:rPr>
          <w:spacing w:val="-5"/>
        </w:rPr>
        <w:t xml:space="preserve"> </w:t>
      </w:r>
      <w:r w:rsidRPr="00633216">
        <w:t>same</w:t>
      </w:r>
      <w:r w:rsidRPr="00633216">
        <w:rPr>
          <w:spacing w:val="-4"/>
        </w:rPr>
        <w:t xml:space="preserve"> </w:t>
      </w:r>
      <w:r w:rsidRPr="00633216">
        <w:rPr>
          <w:spacing w:val="-2"/>
        </w:rPr>
        <w:t>group</w:t>
      </w:r>
    </w:p>
    <w:p w14:paraId="7E6C8682" w14:textId="77777777" w:rsidR="00081005" w:rsidRPr="00633216" w:rsidRDefault="00081005">
      <w:pPr>
        <w:pStyle w:val="Rubrik5"/>
        <w:rPr>
          <w:sz w:val="18"/>
          <w:szCs w:val="18"/>
        </w:rPr>
      </w:pPr>
    </w:p>
    <w:p w14:paraId="5E62E55C" w14:textId="4DD1B1C9" w:rsidR="00633216" w:rsidRPr="00081005" w:rsidRDefault="00633216">
      <w:pPr>
        <w:pStyle w:val="Rubrik5"/>
        <w:rPr>
          <w:sz w:val="18"/>
          <w:szCs w:val="18"/>
        </w:rPr>
      </w:pPr>
      <w:r w:rsidRPr="00633216">
        <w:rPr>
          <w:noProof/>
        </w:rPr>
        <w:drawing>
          <wp:inline distT="0" distB="0" distL="0" distR="0" wp14:anchorId="72F0F43F" wp14:editId="28AB470E">
            <wp:extent cx="5362575" cy="619125"/>
            <wp:effectExtent l="0" t="0" r="9525" b="0"/>
            <wp:docPr id="1871147142" name="Bildobjek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62575" cy="619125"/>
                    </a:xfrm>
                    <a:prstGeom prst="rect">
                      <a:avLst/>
                    </a:prstGeom>
                    <a:noFill/>
                    <a:ln>
                      <a:noFill/>
                    </a:ln>
                  </pic:spPr>
                </pic:pic>
              </a:graphicData>
            </a:graphic>
          </wp:inline>
        </w:drawing>
      </w:r>
    </w:p>
    <w:p w14:paraId="3C6504B4" w14:textId="77777777" w:rsidR="00987DAC" w:rsidRPr="008F26E2" w:rsidRDefault="00987DAC">
      <w:pPr>
        <w:pStyle w:val="Brdtext"/>
        <w:spacing w:before="4"/>
        <w:rPr>
          <w:b/>
          <w:color w:val="FF0000"/>
          <w:sz w:val="9"/>
        </w:rPr>
      </w:pPr>
    </w:p>
    <w:p w14:paraId="57284A86" w14:textId="77777777" w:rsidR="00564FD9" w:rsidRDefault="00564FD9">
      <w:r>
        <w:br w:type="page"/>
      </w:r>
    </w:p>
    <w:p w14:paraId="1F1938AF" w14:textId="61718A1E" w:rsidR="0086177B" w:rsidRPr="00633216" w:rsidRDefault="0086177B" w:rsidP="0086177B">
      <w:pPr>
        <w:pStyle w:val="Rubrik5"/>
        <w:rPr>
          <w:spacing w:val="-2"/>
        </w:rPr>
      </w:pPr>
      <w:r w:rsidRPr="00633216">
        <w:lastRenderedPageBreak/>
        <w:t>Note</w:t>
      </w:r>
      <w:r w:rsidRPr="00633216">
        <w:rPr>
          <w:spacing w:val="-3"/>
        </w:rPr>
        <w:t xml:space="preserve"> </w:t>
      </w:r>
      <w:r>
        <w:t>3</w:t>
      </w:r>
      <w:r w:rsidRPr="00633216">
        <w:rPr>
          <w:spacing w:val="63"/>
        </w:rPr>
        <w:t xml:space="preserve"> </w:t>
      </w:r>
      <w:r>
        <w:t>Remunerations to auditors</w:t>
      </w:r>
    </w:p>
    <w:p w14:paraId="25A06460" w14:textId="77777777" w:rsidR="0086177B" w:rsidRDefault="0086177B" w:rsidP="0086177B">
      <w:pPr>
        <w:pStyle w:val="Rubrik5"/>
        <w:rPr>
          <w:sz w:val="18"/>
          <w:szCs w:val="18"/>
        </w:rPr>
      </w:pPr>
    </w:p>
    <w:p w14:paraId="3DBEC7DD" w14:textId="2A17056C" w:rsidR="00D36056" w:rsidRDefault="00D36056" w:rsidP="0086177B">
      <w:pPr>
        <w:pStyle w:val="Rubrik5"/>
        <w:rPr>
          <w:sz w:val="18"/>
          <w:szCs w:val="18"/>
        </w:rPr>
      </w:pPr>
      <w:r w:rsidRPr="00D36056">
        <w:rPr>
          <w:noProof/>
        </w:rPr>
        <w:drawing>
          <wp:inline distT="0" distB="0" distL="0" distR="0" wp14:anchorId="494C3FB2" wp14:editId="39DB3899">
            <wp:extent cx="5362575" cy="1228725"/>
            <wp:effectExtent l="0" t="0" r="9525" b="9525"/>
            <wp:docPr id="430951462" name="Bildobjekt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62575" cy="1228725"/>
                    </a:xfrm>
                    <a:prstGeom prst="rect">
                      <a:avLst/>
                    </a:prstGeom>
                    <a:noFill/>
                    <a:ln>
                      <a:noFill/>
                    </a:ln>
                  </pic:spPr>
                </pic:pic>
              </a:graphicData>
            </a:graphic>
          </wp:inline>
        </w:drawing>
      </w:r>
    </w:p>
    <w:p w14:paraId="08516C9D" w14:textId="77777777" w:rsidR="00D36056" w:rsidRPr="00D36056" w:rsidRDefault="00D36056" w:rsidP="0086177B">
      <w:pPr>
        <w:pStyle w:val="Rubrik5"/>
        <w:rPr>
          <w:b w:val="0"/>
          <w:bCs w:val="0"/>
          <w:sz w:val="18"/>
          <w:szCs w:val="18"/>
        </w:rPr>
      </w:pPr>
    </w:p>
    <w:p w14:paraId="4BC0D231" w14:textId="75B39952" w:rsidR="00D36056" w:rsidRPr="002362E4" w:rsidRDefault="00D36056" w:rsidP="002362E4">
      <w:pPr>
        <w:pStyle w:val="Brdtext"/>
        <w:spacing w:line="264" w:lineRule="auto"/>
        <w:ind w:left="118" w:right="262"/>
        <w:rPr>
          <w:lang w:val="sv-SE"/>
        </w:rPr>
      </w:pPr>
      <w:r w:rsidRPr="00D36056">
        <w:t xml:space="preserve">The item Other services includes fees of 92 ( - ) in connection with the Group's refinancing, which have been </w:t>
      </w:r>
      <w:r w:rsidRPr="00D36056">
        <w:rPr>
          <w:lang w:val="sv-SE"/>
        </w:rPr>
        <w:t>reported as Other financial expenses</w:t>
      </w:r>
      <w:r w:rsidR="00562BA0" w:rsidRPr="002362E4">
        <w:rPr>
          <w:lang w:val="sv-SE"/>
        </w:rPr>
        <w:t>.</w:t>
      </w:r>
    </w:p>
    <w:p w14:paraId="59707337" w14:textId="77777777" w:rsidR="00562BA0" w:rsidRPr="002362E4" w:rsidRDefault="00562BA0" w:rsidP="002362E4">
      <w:pPr>
        <w:pStyle w:val="Brdtext"/>
        <w:spacing w:line="264" w:lineRule="auto"/>
        <w:ind w:left="118" w:right="262"/>
        <w:rPr>
          <w:lang w:val="sv-SE"/>
        </w:rPr>
      </w:pPr>
    </w:p>
    <w:p w14:paraId="56F10BBC" w14:textId="223AB91A" w:rsidR="00C85933" w:rsidRPr="002362E4" w:rsidRDefault="00C85933" w:rsidP="002362E4">
      <w:pPr>
        <w:pStyle w:val="Brdtext"/>
        <w:spacing w:line="264" w:lineRule="auto"/>
        <w:ind w:left="118" w:right="262"/>
        <w:rPr>
          <w:lang w:val="sv-SE"/>
        </w:rPr>
      </w:pPr>
      <w:r w:rsidRPr="000721BA">
        <w:t>Audit</w:t>
      </w:r>
      <w:r w:rsidRPr="00C85933">
        <w:t xml:space="preserve"> </w:t>
      </w:r>
      <w:r w:rsidRPr="000721BA">
        <w:t>assignments</w:t>
      </w:r>
      <w:r w:rsidRPr="00C85933">
        <w:t xml:space="preserve"> </w:t>
      </w:r>
      <w:r w:rsidRPr="000721BA">
        <w:t>refers</w:t>
      </w:r>
      <w:r w:rsidRPr="00C85933">
        <w:t xml:space="preserve"> </w:t>
      </w:r>
      <w:r w:rsidRPr="000721BA">
        <w:t>to</w:t>
      </w:r>
      <w:r w:rsidRPr="00C85933">
        <w:t xml:space="preserve"> </w:t>
      </w:r>
      <w:r w:rsidRPr="000721BA">
        <w:t>the</w:t>
      </w:r>
      <w:r w:rsidRPr="00C85933">
        <w:t xml:space="preserve"> </w:t>
      </w:r>
      <w:r w:rsidRPr="000721BA">
        <w:t>auditor's</w:t>
      </w:r>
      <w:r w:rsidRPr="00C85933">
        <w:t xml:space="preserve"> </w:t>
      </w:r>
      <w:r w:rsidRPr="000721BA">
        <w:t>remuneration</w:t>
      </w:r>
      <w:r w:rsidRPr="00C85933">
        <w:t xml:space="preserve"> </w:t>
      </w:r>
      <w:r w:rsidRPr="000721BA">
        <w:t>for</w:t>
      </w:r>
      <w:r w:rsidRPr="00C85933">
        <w:t xml:space="preserve"> </w:t>
      </w:r>
      <w:r w:rsidRPr="000721BA">
        <w:t>the</w:t>
      </w:r>
      <w:r w:rsidRPr="00C85933">
        <w:t xml:space="preserve"> </w:t>
      </w:r>
      <w:r w:rsidRPr="000721BA">
        <w:t>statutory</w:t>
      </w:r>
      <w:r w:rsidRPr="00C85933">
        <w:t xml:space="preserve"> </w:t>
      </w:r>
      <w:r w:rsidRPr="000721BA">
        <w:t>audit.</w:t>
      </w:r>
      <w:r w:rsidRPr="00C85933">
        <w:t xml:space="preserve"> </w:t>
      </w:r>
      <w:r w:rsidRPr="000721BA">
        <w:t>The</w:t>
      </w:r>
      <w:r w:rsidRPr="00C85933">
        <w:t xml:space="preserve"> </w:t>
      </w:r>
      <w:r w:rsidRPr="000721BA">
        <w:t>work</w:t>
      </w:r>
      <w:r w:rsidRPr="00C85933">
        <w:t xml:space="preserve"> </w:t>
      </w:r>
      <w:r w:rsidRPr="000721BA">
        <w:t>covers</w:t>
      </w:r>
      <w:r w:rsidRPr="00C85933">
        <w:t xml:space="preserve"> </w:t>
      </w:r>
      <w:r w:rsidRPr="000721BA">
        <w:t>the</w:t>
      </w:r>
      <w:r w:rsidRPr="00C85933">
        <w:t xml:space="preserve"> </w:t>
      </w:r>
      <w:r w:rsidRPr="000721BA">
        <w:t>audit</w:t>
      </w:r>
      <w:r w:rsidRPr="00C85933">
        <w:t xml:space="preserve"> </w:t>
      </w:r>
      <w:r w:rsidRPr="000721BA">
        <w:t>of</w:t>
      </w:r>
      <w:r w:rsidRPr="00C85933">
        <w:t xml:space="preserve"> </w:t>
      </w:r>
      <w:r w:rsidRPr="000721BA">
        <w:t xml:space="preserve">the annual report and consolidated financial statements and the accounting, the administration of the Board of Directors and the Chief Executive Officer and fees for audit advice provided in connection with the audit </w:t>
      </w:r>
      <w:r w:rsidRPr="002362E4">
        <w:rPr>
          <w:lang w:val="sv-SE"/>
        </w:rPr>
        <w:t>assignment.</w:t>
      </w:r>
    </w:p>
    <w:p w14:paraId="2D545069" w14:textId="77777777" w:rsidR="00562BA0" w:rsidRPr="002362E4" w:rsidRDefault="00562BA0" w:rsidP="002362E4">
      <w:pPr>
        <w:pStyle w:val="Brdtext"/>
        <w:spacing w:line="264" w:lineRule="auto"/>
        <w:ind w:left="118" w:right="262"/>
        <w:rPr>
          <w:lang w:val="sv-SE"/>
        </w:rPr>
      </w:pPr>
    </w:p>
    <w:p w14:paraId="785C0F79" w14:textId="035D8BC0" w:rsidR="00C85933" w:rsidRPr="002362E4" w:rsidRDefault="00C85933" w:rsidP="002362E4">
      <w:pPr>
        <w:pStyle w:val="Brdtext"/>
        <w:spacing w:line="264" w:lineRule="auto"/>
        <w:ind w:left="118" w:right="262"/>
        <w:rPr>
          <w:lang w:val="sv-SE"/>
        </w:rPr>
      </w:pPr>
      <w:r w:rsidRPr="000721BA">
        <w:t>Audit</w:t>
      </w:r>
      <w:r w:rsidRPr="00C85933">
        <w:t xml:space="preserve"> </w:t>
      </w:r>
      <w:r w:rsidRPr="000721BA">
        <w:t>activities</w:t>
      </w:r>
      <w:r w:rsidRPr="00C85933">
        <w:t xml:space="preserve"> </w:t>
      </w:r>
      <w:r w:rsidRPr="000721BA">
        <w:t>in</w:t>
      </w:r>
      <w:r w:rsidRPr="00C85933">
        <w:t xml:space="preserve"> </w:t>
      </w:r>
      <w:r w:rsidRPr="000721BA">
        <w:t>addition</w:t>
      </w:r>
      <w:r w:rsidRPr="00C85933">
        <w:t xml:space="preserve"> </w:t>
      </w:r>
      <w:r w:rsidRPr="000721BA">
        <w:t>to</w:t>
      </w:r>
      <w:r w:rsidRPr="00C85933">
        <w:t xml:space="preserve"> </w:t>
      </w:r>
      <w:r w:rsidRPr="000721BA">
        <w:t>the</w:t>
      </w:r>
      <w:r w:rsidRPr="00C85933">
        <w:t xml:space="preserve"> </w:t>
      </w:r>
      <w:r w:rsidRPr="000721BA">
        <w:t>audit assignment</w:t>
      </w:r>
      <w:r w:rsidRPr="00C85933">
        <w:t xml:space="preserve"> </w:t>
      </w:r>
      <w:r w:rsidR="00DD3C35">
        <w:t xml:space="preserve">refers to </w:t>
      </w:r>
      <w:r w:rsidRPr="000721BA">
        <w:t>other</w:t>
      </w:r>
      <w:r w:rsidRPr="00C85933">
        <w:t xml:space="preserve"> </w:t>
      </w:r>
      <w:r w:rsidRPr="000721BA">
        <w:t>tasks</w:t>
      </w:r>
      <w:r w:rsidRPr="00C85933">
        <w:t xml:space="preserve"> </w:t>
      </w:r>
      <w:r w:rsidRPr="000721BA">
        <w:t>that</w:t>
      </w:r>
      <w:r w:rsidRPr="00C85933">
        <w:t xml:space="preserve"> </w:t>
      </w:r>
      <w:r w:rsidRPr="000721BA">
        <w:t>it</w:t>
      </w:r>
      <w:r w:rsidRPr="00C85933">
        <w:t xml:space="preserve"> </w:t>
      </w:r>
      <w:r w:rsidRPr="000721BA">
        <w:t>rests</w:t>
      </w:r>
      <w:r w:rsidRPr="00C85933">
        <w:t xml:space="preserve"> </w:t>
      </w:r>
      <w:r w:rsidRPr="000721BA">
        <w:t>upon</w:t>
      </w:r>
      <w:r w:rsidRPr="00C85933">
        <w:t xml:space="preserve"> </w:t>
      </w:r>
      <w:r w:rsidRPr="000721BA">
        <w:t>the</w:t>
      </w:r>
      <w:r w:rsidRPr="00C85933">
        <w:t xml:space="preserve"> </w:t>
      </w:r>
      <w:r w:rsidRPr="000721BA">
        <w:t>company's</w:t>
      </w:r>
      <w:r w:rsidRPr="00C85933">
        <w:t xml:space="preserve"> </w:t>
      </w:r>
      <w:r w:rsidRPr="000721BA">
        <w:t>auditor</w:t>
      </w:r>
      <w:r w:rsidRPr="00C85933">
        <w:t xml:space="preserve"> </w:t>
      </w:r>
      <w:r w:rsidRPr="002362E4">
        <w:rPr>
          <w:lang w:val="sv-SE"/>
        </w:rPr>
        <w:t>to perform, as well as advice or other assistance arising from observations made during such an audit.</w:t>
      </w:r>
    </w:p>
    <w:p w14:paraId="7ECA8F89" w14:textId="77777777" w:rsidR="00C85933" w:rsidRPr="002362E4" w:rsidRDefault="00C85933" w:rsidP="002362E4">
      <w:pPr>
        <w:pStyle w:val="Brdtext"/>
        <w:spacing w:line="264" w:lineRule="auto"/>
        <w:ind w:left="118" w:right="262"/>
        <w:rPr>
          <w:lang w:val="sv-SE"/>
        </w:rPr>
      </w:pPr>
    </w:p>
    <w:p w14:paraId="3BF18144" w14:textId="77777777" w:rsidR="00C85933" w:rsidRPr="002362E4" w:rsidRDefault="00C85933" w:rsidP="002362E4">
      <w:pPr>
        <w:pStyle w:val="Brdtext"/>
        <w:spacing w:line="264" w:lineRule="auto"/>
        <w:ind w:left="118" w:right="262"/>
        <w:rPr>
          <w:lang w:val="sv-SE"/>
        </w:rPr>
      </w:pPr>
      <w:r w:rsidRPr="000721BA">
        <w:t>Tax</w:t>
      </w:r>
      <w:r w:rsidRPr="00C85933">
        <w:t xml:space="preserve"> </w:t>
      </w:r>
      <w:r w:rsidRPr="000721BA">
        <w:t>advice</w:t>
      </w:r>
      <w:r w:rsidRPr="00C85933">
        <w:t xml:space="preserve"> </w:t>
      </w:r>
      <w:r w:rsidRPr="000721BA">
        <w:t>refers</w:t>
      </w:r>
      <w:r w:rsidRPr="00C85933">
        <w:t xml:space="preserve"> </w:t>
      </w:r>
      <w:r w:rsidRPr="000721BA">
        <w:t>to</w:t>
      </w:r>
      <w:r w:rsidRPr="00C85933">
        <w:t xml:space="preserve"> </w:t>
      </w:r>
      <w:r w:rsidRPr="000721BA">
        <w:t>all</w:t>
      </w:r>
      <w:r w:rsidRPr="00C85933">
        <w:t xml:space="preserve"> </w:t>
      </w:r>
      <w:r w:rsidRPr="000721BA">
        <w:t>tax-related</w:t>
      </w:r>
      <w:r w:rsidRPr="00C85933">
        <w:t xml:space="preserve"> </w:t>
      </w:r>
      <w:r w:rsidRPr="000721BA">
        <w:t>services</w:t>
      </w:r>
      <w:r w:rsidRPr="00C85933">
        <w:t xml:space="preserve"> </w:t>
      </w:r>
      <w:r w:rsidRPr="000721BA">
        <w:t>such</w:t>
      </w:r>
      <w:r w:rsidRPr="00C85933">
        <w:t xml:space="preserve"> </w:t>
      </w:r>
      <w:r w:rsidRPr="000721BA">
        <w:t>as</w:t>
      </w:r>
      <w:r w:rsidRPr="00C85933">
        <w:t xml:space="preserve"> </w:t>
      </w:r>
      <w:r w:rsidRPr="000721BA">
        <w:t>assistance</w:t>
      </w:r>
      <w:r w:rsidRPr="00C85933">
        <w:t xml:space="preserve"> </w:t>
      </w:r>
      <w:r w:rsidRPr="000721BA">
        <w:t>in</w:t>
      </w:r>
      <w:r w:rsidRPr="00C85933">
        <w:t xml:space="preserve"> </w:t>
      </w:r>
      <w:r w:rsidRPr="000721BA">
        <w:t>tax</w:t>
      </w:r>
      <w:r w:rsidRPr="00C85933">
        <w:t xml:space="preserve"> </w:t>
      </w:r>
      <w:r w:rsidRPr="000721BA">
        <w:t>calculation,</w:t>
      </w:r>
      <w:r w:rsidRPr="00C85933">
        <w:t xml:space="preserve"> </w:t>
      </w:r>
      <w:r w:rsidRPr="000721BA">
        <w:t>preparing</w:t>
      </w:r>
      <w:r w:rsidRPr="00C85933">
        <w:t xml:space="preserve"> </w:t>
      </w:r>
      <w:r w:rsidRPr="000721BA">
        <w:t>tax</w:t>
      </w:r>
      <w:r w:rsidRPr="00C85933">
        <w:t xml:space="preserve"> </w:t>
      </w:r>
      <w:r w:rsidRPr="000721BA">
        <w:t>returns</w:t>
      </w:r>
      <w:r w:rsidRPr="00C85933">
        <w:t xml:space="preserve"> </w:t>
      </w:r>
      <w:r w:rsidRPr="000721BA">
        <w:t xml:space="preserve">and </w:t>
      </w:r>
      <w:r w:rsidRPr="002362E4">
        <w:rPr>
          <w:lang w:val="sv-SE"/>
        </w:rPr>
        <w:t>consultations regarding VAT, excise duties and personnel issues.</w:t>
      </w:r>
    </w:p>
    <w:p w14:paraId="3AF8E957" w14:textId="77777777" w:rsidR="00C85933" w:rsidRPr="002362E4" w:rsidRDefault="00C85933" w:rsidP="002362E4">
      <w:pPr>
        <w:pStyle w:val="Brdtext"/>
        <w:spacing w:line="264" w:lineRule="auto"/>
        <w:ind w:left="118" w:right="262"/>
        <w:rPr>
          <w:lang w:val="sv-SE"/>
        </w:rPr>
      </w:pPr>
    </w:p>
    <w:p w14:paraId="7A1C8E10" w14:textId="77777777" w:rsidR="00C85933" w:rsidRPr="002362E4" w:rsidRDefault="00C85933" w:rsidP="002362E4">
      <w:pPr>
        <w:pStyle w:val="Brdtext"/>
        <w:spacing w:line="264" w:lineRule="auto"/>
        <w:ind w:left="118" w:right="262"/>
        <w:rPr>
          <w:lang w:val="sv-SE"/>
        </w:rPr>
      </w:pPr>
      <w:r w:rsidRPr="002362E4">
        <w:rPr>
          <w:lang w:val="sv-SE"/>
        </w:rPr>
        <w:t>All other work carried out by the auditor is defined as other services.</w:t>
      </w:r>
    </w:p>
    <w:p w14:paraId="3C6504EA" w14:textId="77777777" w:rsidR="00987DAC" w:rsidRPr="002362E4" w:rsidRDefault="00987DAC" w:rsidP="002362E4">
      <w:pPr>
        <w:pStyle w:val="Brdtext"/>
        <w:spacing w:line="264" w:lineRule="auto"/>
        <w:ind w:left="118" w:right="262"/>
        <w:rPr>
          <w:lang w:val="sv-SE"/>
        </w:rPr>
      </w:pPr>
    </w:p>
    <w:p w14:paraId="3C6504EB" w14:textId="77777777" w:rsidR="00987DAC" w:rsidRDefault="00016B4C">
      <w:pPr>
        <w:pStyle w:val="Rubrik5"/>
        <w:rPr>
          <w:spacing w:val="-4"/>
        </w:rPr>
      </w:pPr>
      <w:r w:rsidRPr="00F269C0">
        <w:t>Note</w:t>
      </w:r>
      <w:r w:rsidRPr="00F269C0">
        <w:rPr>
          <w:spacing w:val="-4"/>
        </w:rPr>
        <w:t xml:space="preserve"> </w:t>
      </w:r>
      <w:r w:rsidRPr="00F269C0">
        <w:t>4</w:t>
      </w:r>
      <w:r w:rsidRPr="00F269C0">
        <w:rPr>
          <w:spacing w:val="-2"/>
        </w:rPr>
        <w:t xml:space="preserve"> </w:t>
      </w:r>
      <w:r w:rsidRPr="00F269C0">
        <w:t>Personnel</w:t>
      </w:r>
      <w:r w:rsidRPr="00F269C0">
        <w:rPr>
          <w:spacing w:val="-5"/>
        </w:rPr>
        <w:t xml:space="preserve"> </w:t>
      </w:r>
      <w:r w:rsidRPr="00F269C0">
        <w:rPr>
          <w:spacing w:val="-4"/>
        </w:rPr>
        <w:t>costs</w:t>
      </w:r>
    </w:p>
    <w:p w14:paraId="01804475" w14:textId="77777777" w:rsidR="00CB0DE6" w:rsidRPr="00F269C0" w:rsidRDefault="00CB0DE6">
      <w:pPr>
        <w:pStyle w:val="Rubrik5"/>
      </w:pPr>
    </w:p>
    <w:p w14:paraId="3C6504EC" w14:textId="2972BEDC" w:rsidR="00987DAC" w:rsidRPr="00CB0DE6" w:rsidRDefault="00016B4C" w:rsidP="00CB0DE6">
      <w:pPr>
        <w:pStyle w:val="Brdtext"/>
        <w:spacing w:line="264" w:lineRule="auto"/>
        <w:ind w:left="118" w:right="262"/>
        <w:rPr>
          <w:lang w:val="sv-SE"/>
        </w:rPr>
      </w:pPr>
      <w:r w:rsidRPr="00CB0DE6">
        <w:rPr>
          <w:lang w:val="sv-SE"/>
        </w:rPr>
        <w:t xml:space="preserve">See </w:t>
      </w:r>
      <w:r w:rsidR="002362E4" w:rsidRPr="00CB0DE6">
        <w:rPr>
          <w:lang w:val="sv-SE"/>
        </w:rPr>
        <w:t>n</w:t>
      </w:r>
      <w:r w:rsidRPr="00CB0DE6">
        <w:rPr>
          <w:lang w:val="sv-SE"/>
        </w:rPr>
        <w:t xml:space="preserve">ote </w:t>
      </w:r>
      <w:r w:rsidR="002362E4" w:rsidRPr="00CB0DE6">
        <w:rPr>
          <w:lang w:val="sv-SE"/>
        </w:rPr>
        <w:t>10</w:t>
      </w:r>
      <w:r w:rsidRPr="00CB0DE6">
        <w:rPr>
          <w:lang w:val="sv-SE"/>
        </w:rPr>
        <w:t xml:space="preserve"> for the Group's notes for details regarding the Parent Company.</w:t>
      </w:r>
    </w:p>
    <w:p w14:paraId="3C6504ED" w14:textId="77777777" w:rsidR="00987DAC" w:rsidRPr="00CB0DE6" w:rsidRDefault="00987DAC" w:rsidP="00CB0DE6">
      <w:pPr>
        <w:pStyle w:val="Brdtext"/>
        <w:spacing w:line="264" w:lineRule="auto"/>
        <w:ind w:left="118" w:right="262"/>
        <w:rPr>
          <w:lang w:val="sv-SE"/>
        </w:rPr>
      </w:pPr>
    </w:p>
    <w:p w14:paraId="3C6504EE" w14:textId="3626D468" w:rsidR="00987DAC" w:rsidRPr="00CB0DE6" w:rsidRDefault="00016B4C">
      <w:pPr>
        <w:pStyle w:val="Rubrik5"/>
      </w:pPr>
      <w:r w:rsidRPr="00CB0DE6">
        <w:t>Note</w:t>
      </w:r>
      <w:r w:rsidRPr="00CB0DE6">
        <w:rPr>
          <w:spacing w:val="-3"/>
        </w:rPr>
        <w:t xml:space="preserve"> </w:t>
      </w:r>
      <w:r w:rsidRPr="00CB0DE6">
        <w:t>5</w:t>
      </w:r>
      <w:r w:rsidRPr="00CB0DE6">
        <w:rPr>
          <w:spacing w:val="-1"/>
        </w:rPr>
        <w:t xml:space="preserve"> </w:t>
      </w:r>
      <w:r w:rsidR="00F269C0" w:rsidRPr="00CB0DE6">
        <w:t>Financial income</w:t>
      </w:r>
    </w:p>
    <w:p w14:paraId="3C6504EF" w14:textId="77777777" w:rsidR="00987DAC" w:rsidRPr="00CB0DE6" w:rsidRDefault="00987DAC" w:rsidP="00CB0DE6">
      <w:pPr>
        <w:pStyle w:val="Brdtext"/>
        <w:spacing w:line="264" w:lineRule="auto"/>
        <w:ind w:left="118" w:right="262"/>
        <w:rPr>
          <w:lang w:val="sv-SE"/>
        </w:rPr>
      </w:pPr>
    </w:p>
    <w:p w14:paraId="3C6504F0" w14:textId="1DAE85D6" w:rsidR="00987DAC" w:rsidRPr="00BF23D8" w:rsidRDefault="00BF23D8" w:rsidP="00E67666">
      <w:pPr>
        <w:pStyle w:val="Brdtext"/>
        <w:spacing w:before="120"/>
      </w:pPr>
      <w:r w:rsidRPr="00BF23D8">
        <w:t xml:space="preserve">  </w:t>
      </w:r>
      <w:r w:rsidRPr="00BF23D8">
        <w:rPr>
          <w:noProof/>
        </w:rPr>
        <w:drawing>
          <wp:inline distT="0" distB="0" distL="0" distR="0" wp14:anchorId="403E500D" wp14:editId="16F5A584">
            <wp:extent cx="5362575" cy="923925"/>
            <wp:effectExtent l="0" t="0" r="9525" b="9525"/>
            <wp:docPr id="834540147"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62575" cy="923925"/>
                    </a:xfrm>
                    <a:prstGeom prst="rect">
                      <a:avLst/>
                    </a:prstGeom>
                    <a:noFill/>
                    <a:ln>
                      <a:noFill/>
                    </a:ln>
                  </pic:spPr>
                </pic:pic>
              </a:graphicData>
            </a:graphic>
          </wp:inline>
        </w:drawing>
      </w:r>
    </w:p>
    <w:p w14:paraId="3C6504F1" w14:textId="77777777" w:rsidR="00987DAC" w:rsidRPr="00CB0DE6" w:rsidRDefault="00987DAC" w:rsidP="00CB0DE6">
      <w:pPr>
        <w:pStyle w:val="Brdtext"/>
        <w:spacing w:line="264" w:lineRule="auto"/>
        <w:ind w:left="118" w:right="262"/>
        <w:rPr>
          <w:lang w:val="sv-SE"/>
        </w:rPr>
      </w:pPr>
    </w:p>
    <w:p w14:paraId="3C6504F3" w14:textId="5F849AC0" w:rsidR="00987DAC" w:rsidRPr="00CB0DE6" w:rsidRDefault="00E67666" w:rsidP="00CB0DE6">
      <w:pPr>
        <w:pStyle w:val="Rubrik5"/>
      </w:pPr>
      <w:r w:rsidRPr="00CB0DE6">
        <w:t>Note 6 Financial expenses</w:t>
      </w:r>
    </w:p>
    <w:p w14:paraId="3C6504F4" w14:textId="77777777" w:rsidR="00987DAC" w:rsidRPr="00CB0DE6" w:rsidRDefault="00987DAC" w:rsidP="00CB0DE6">
      <w:pPr>
        <w:pStyle w:val="Brdtext"/>
        <w:spacing w:line="264" w:lineRule="auto"/>
        <w:ind w:left="118" w:right="262"/>
        <w:rPr>
          <w:lang w:val="sv-SE"/>
        </w:rPr>
      </w:pPr>
    </w:p>
    <w:p w14:paraId="76C16502" w14:textId="7A076ED5" w:rsidR="00362B92" w:rsidRDefault="00D5100D" w:rsidP="00CB0DE6">
      <w:pPr>
        <w:pStyle w:val="Brdtext"/>
        <w:spacing w:line="264" w:lineRule="auto"/>
        <w:ind w:left="118" w:right="262"/>
        <w:rPr>
          <w:lang w:val="sv-SE"/>
        </w:rPr>
      </w:pPr>
      <w:r w:rsidRPr="00D5100D">
        <w:rPr>
          <w:noProof/>
        </w:rPr>
        <w:drawing>
          <wp:inline distT="0" distB="0" distL="0" distR="0" wp14:anchorId="0C9617D3" wp14:editId="7E5ABCBC">
            <wp:extent cx="5361940" cy="1075055"/>
            <wp:effectExtent l="0" t="0" r="0" b="0"/>
            <wp:docPr id="59628590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61940" cy="1075055"/>
                    </a:xfrm>
                    <a:prstGeom prst="rect">
                      <a:avLst/>
                    </a:prstGeom>
                    <a:noFill/>
                    <a:ln>
                      <a:noFill/>
                    </a:ln>
                  </pic:spPr>
                </pic:pic>
              </a:graphicData>
            </a:graphic>
          </wp:inline>
        </w:drawing>
      </w:r>
    </w:p>
    <w:p w14:paraId="1BA4D781" w14:textId="77777777" w:rsidR="006552CB" w:rsidRPr="00CB0DE6" w:rsidRDefault="006552CB" w:rsidP="00CB0DE6">
      <w:pPr>
        <w:pStyle w:val="Brdtext"/>
        <w:spacing w:line="264" w:lineRule="auto"/>
        <w:ind w:left="118" w:right="262"/>
        <w:rPr>
          <w:lang w:val="sv-SE"/>
        </w:rPr>
      </w:pPr>
    </w:p>
    <w:p w14:paraId="470A188D" w14:textId="7DBE508E" w:rsidR="00362B92" w:rsidRPr="00CB0DE6" w:rsidRDefault="00362B92" w:rsidP="00CB0DE6">
      <w:pPr>
        <w:pStyle w:val="Brdtext"/>
        <w:spacing w:line="264" w:lineRule="auto"/>
        <w:ind w:left="118" w:right="262"/>
        <w:rPr>
          <w:lang w:val="sv-SE"/>
        </w:rPr>
      </w:pPr>
      <w:r w:rsidRPr="00CB0DE6">
        <w:rPr>
          <w:lang w:val="sv-SE"/>
        </w:rPr>
        <w:t>The exchange rate effects are largely attributable to unrealized revaluations of intra-group liabilities and receivables</w:t>
      </w:r>
      <w:r w:rsidR="006160CE">
        <w:rPr>
          <w:lang w:val="sv-SE"/>
        </w:rPr>
        <w:t>.</w:t>
      </w:r>
    </w:p>
    <w:p w14:paraId="3C6504F5" w14:textId="77777777" w:rsidR="00987DAC" w:rsidRPr="006552CB" w:rsidRDefault="00987DAC" w:rsidP="00E67666">
      <w:pPr>
        <w:pStyle w:val="Brdtext"/>
        <w:spacing w:before="120"/>
      </w:pPr>
    </w:p>
    <w:p w14:paraId="3C6504F7" w14:textId="77777777" w:rsidR="00987DAC" w:rsidRPr="006552CB" w:rsidRDefault="00987DAC" w:rsidP="00E67666">
      <w:pPr>
        <w:pStyle w:val="Brdtext"/>
        <w:spacing w:before="120"/>
        <w:sectPr w:rsidR="00987DAC" w:rsidRPr="006552CB">
          <w:pgSz w:w="11910" w:h="16840"/>
          <w:pgMar w:top="1420" w:right="980" w:bottom="900" w:left="1300" w:header="512" w:footer="719" w:gutter="0"/>
          <w:cols w:space="720"/>
        </w:sectPr>
      </w:pPr>
    </w:p>
    <w:p w14:paraId="3C6504FE" w14:textId="77777777" w:rsidR="00987DAC" w:rsidRPr="007A51E5" w:rsidRDefault="00016B4C">
      <w:pPr>
        <w:pStyle w:val="Rubrik5"/>
        <w:rPr>
          <w:spacing w:val="-5"/>
        </w:rPr>
      </w:pPr>
      <w:r w:rsidRPr="007A51E5">
        <w:lastRenderedPageBreak/>
        <w:t>Note</w:t>
      </w:r>
      <w:r w:rsidRPr="007A51E5">
        <w:rPr>
          <w:spacing w:val="-4"/>
        </w:rPr>
        <w:t xml:space="preserve"> </w:t>
      </w:r>
      <w:r w:rsidRPr="007A51E5">
        <w:t>7</w:t>
      </w:r>
      <w:r w:rsidRPr="007A51E5">
        <w:rPr>
          <w:spacing w:val="-2"/>
        </w:rPr>
        <w:t xml:space="preserve"> </w:t>
      </w:r>
      <w:r w:rsidRPr="007A51E5">
        <w:t>Income</w:t>
      </w:r>
      <w:r w:rsidRPr="007A51E5">
        <w:rPr>
          <w:spacing w:val="-5"/>
        </w:rPr>
        <w:t xml:space="preserve"> tax</w:t>
      </w:r>
    </w:p>
    <w:p w14:paraId="10D2CB7C" w14:textId="77777777" w:rsidR="007A51E5" w:rsidRPr="007A51E5" w:rsidRDefault="007A51E5">
      <w:pPr>
        <w:pStyle w:val="Rubrik5"/>
        <w:rPr>
          <w:sz w:val="18"/>
          <w:szCs w:val="18"/>
        </w:rPr>
      </w:pPr>
    </w:p>
    <w:p w14:paraId="5D363DBF" w14:textId="4425EF29" w:rsidR="00C965F2" w:rsidRDefault="00C51CA2">
      <w:pPr>
        <w:pStyle w:val="Brdtext"/>
        <w:spacing w:before="237" w:line="264" w:lineRule="auto"/>
        <w:ind w:left="118" w:right="446"/>
      </w:pPr>
      <w:r w:rsidRPr="00C51CA2">
        <w:rPr>
          <w:noProof/>
        </w:rPr>
        <w:drawing>
          <wp:inline distT="0" distB="0" distL="0" distR="0" wp14:anchorId="4697ECE5" wp14:editId="083318BD">
            <wp:extent cx="6115050" cy="2657475"/>
            <wp:effectExtent l="0" t="0" r="0" b="9525"/>
            <wp:docPr id="2026362829"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15050" cy="2657475"/>
                    </a:xfrm>
                    <a:prstGeom prst="rect">
                      <a:avLst/>
                    </a:prstGeom>
                    <a:noFill/>
                    <a:ln>
                      <a:noFill/>
                    </a:ln>
                  </pic:spPr>
                </pic:pic>
              </a:graphicData>
            </a:graphic>
          </wp:inline>
        </w:drawing>
      </w:r>
    </w:p>
    <w:p w14:paraId="328F9964" w14:textId="77777777" w:rsidR="007A51E5" w:rsidRDefault="007A51E5">
      <w:pPr>
        <w:pStyle w:val="Brdtext"/>
        <w:spacing w:before="237" w:line="264" w:lineRule="auto"/>
        <w:ind w:left="118" w:right="446"/>
      </w:pPr>
    </w:p>
    <w:p w14:paraId="3E3C74A3" w14:textId="62F85346" w:rsidR="00677A86" w:rsidRPr="00BA52F2" w:rsidRDefault="00677A86" w:rsidP="00677A86">
      <w:pPr>
        <w:pStyle w:val="Rubrik5"/>
      </w:pPr>
      <w:r w:rsidRPr="00BA52F2">
        <w:t>Note</w:t>
      </w:r>
      <w:r w:rsidRPr="00BA52F2">
        <w:rPr>
          <w:spacing w:val="-3"/>
        </w:rPr>
        <w:t xml:space="preserve"> </w:t>
      </w:r>
      <w:r w:rsidRPr="00BA52F2">
        <w:t>8</w:t>
      </w:r>
      <w:r w:rsidRPr="00BA52F2">
        <w:rPr>
          <w:spacing w:val="-2"/>
        </w:rPr>
        <w:t xml:space="preserve"> </w:t>
      </w:r>
      <w:r w:rsidRPr="00BA52F2">
        <w:t>Activated development expenses</w:t>
      </w:r>
    </w:p>
    <w:p w14:paraId="4B6DE5C1" w14:textId="77777777" w:rsidR="008B69FB" w:rsidRPr="00BA52F2" w:rsidRDefault="008B69FB" w:rsidP="004F5C0C">
      <w:pPr>
        <w:pStyle w:val="Brdtext"/>
        <w:ind w:left="118"/>
      </w:pPr>
    </w:p>
    <w:p w14:paraId="3C650563" w14:textId="43867045" w:rsidR="00987DAC" w:rsidRPr="00BA52F2" w:rsidRDefault="00BA52F2" w:rsidP="004F5C0C">
      <w:pPr>
        <w:pStyle w:val="Brdtext"/>
        <w:ind w:left="118"/>
      </w:pPr>
      <w:r w:rsidRPr="00BA52F2">
        <w:rPr>
          <w:noProof/>
        </w:rPr>
        <w:drawing>
          <wp:inline distT="0" distB="0" distL="0" distR="0" wp14:anchorId="48398DC1" wp14:editId="00B9EAA0">
            <wp:extent cx="6115050" cy="2035175"/>
            <wp:effectExtent l="0" t="0" r="0" b="3175"/>
            <wp:docPr id="2017230266" name="Bildobjekt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15050" cy="2035175"/>
                    </a:xfrm>
                    <a:prstGeom prst="rect">
                      <a:avLst/>
                    </a:prstGeom>
                    <a:noFill/>
                    <a:ln>
                      <a:noFill/>
                    </a:ln>
                  </pic:spPr>
                </pic:pic>
              </a:graphicData>
            </a:graphic>
          </wp:inline>
        </w:drawing>
      </w:r>
    </w:p>
    <w:p w14:paraId="61C4FBF9" w14:textId="77777777" w:rsidR="001B075C" w:rsidRPr="00BA52F2" w:rsidRDefault="001B075C" w:rsidP="004F5C0C">
      <w:pPr>
        <w:pStyle w:val="Brdtext"/>
        <w:ind w:left="118"/>
      </w:pPr>
    </w:p>
    <w:p w14:paraId="40579F1B" w14:textId="690BE195" w:rsidR="001B075C" w:rsidRDefault="00E42C9D" w:rsidP="001B075C">
      <w:pPr>
        <w:pStyle w:val="Rubrik5"/>
        <w:rPr>
          <w:b w:val="0"/>
          <w:bCs w:val="0"/>
          <w:sz w:val="18"/>
          <w:szCs w:val="18"/>
        </w:rPr>
      </w:pPr>
      <w:r w:rsidRPr="00E42C9D">
        <w:rPr>
          <w:b w:val="0"/>
          <w:bCs w:val="0"/>
          <w:sz w:val="18"/>
          <w:szCs w:val="18"/>
        </w:rPr>
        <w:t xml:space="preserve">The Group capitalizes start-up costs for new facilities (see </w:t>
      </w:r>
      <w:r w:rsidR="008E7A74">
        <w:rPr>
          <w:b w:val="0"/>
          <w:bCs w:val="0"/>
          <w:sz w:val="18"/>
          <w:szCs w:val="18"/>
        </w:rPr>
        <w:t>n</w:t>
      </w:r>
      <w:r w:rsidRPr="00E42C9D">
        <w:rPr>
          <w:b w:val="0"/>
          <w:bCs w:val="0"/>
          <w:sz w:val="18"/>
          <w:szCs w:val="18"/>
        </w:rPr>
        <w:t>ote 2 for a more detailed description), of which some administrative costs are capitalized in the parent company.</w:t>
      </w:r>
    </w:p>
    <w:p w14:paraId="4DB04867" w14:textId="77777777" w:rsidR="00160A8E" w:rsidRDefault="00160A8E" w:rsidP="001B075C">
      <w:pPr>
        <w:pStyle w:val="Rubrik5"/>
        <w:rPr>
          <w:b w:val="0"/>
          <w:bCs w:val="0"/>
          <w:sz w:val="18"/>
          <w:szCs w:val="18"/>
        </w:rPr>
      </w:pPr>
    </w:p>
    <w:p w14:paraId="2840AD51" w14:textId="051EE248" w:rsidR="00160A8E" w:rsidRPr="00097B85" w:rsidRDefault="00160A8E" w:rsidP="00160A8E">
      <w:pPr>
        <w:pStyle w:val="Rubrik5"/>
      </w:pPr>
      <w:r w:rsidRPr="00097B85">
        <w:t>Note</w:t>
      </w:r>
      <w:r w:rsidRPr="00097B85">
        <w:rPr>
          <w:spacing w:val="-3"/>
        </w:rPr>
        <w:t xml:space="preserve"> </w:t>
      </w:r>
      <w:r w:rsidRPr="00097B85">
        <w:t>9</w:t>
      </w:r>
      <w:r w:rsidRPr="00097B85">
        <w:rPr>
          <w:spacing w:val="-2"/>
        </w:rPr>
        <w:t xml:space="preserve"> Financial assets</w:t>
      </w:r>
    </w:p>
    <w:p w14:paraId="17D35D9B" w14:textId="77777777" w:rsidR="00E42C9D" w:rsidRPr="00097B85" w:rsidRDefault="00E42C9D" w:rsidP="001B075C">
      <w:pPr>
        <w:pStyle w:val="Rubrik5"/>
        <w:rPr>
          <w:b w:val="0"/>
          <w:bCs w:val="0"/>
          <w:sz w:val="18"/>
          <w:szCs w:val="18"/>
        </w:rPr>
      </w:pPr>
    </w:p>
    <w:p w14:paraId="494161F3" w14:textId="49FCD045" w:rsidR="001304E4" w:rsidRPr="00097B85" w:rsidRDefault="00097B85" w:rsidP="001B075C">
      <w:pPr>
        <w:pStyle w:val="Rubrik5"/>
        <w:rPr>
          <w:b w:val="0"/>
          <w:bCs w:val="0"/>
          <w:sz w:val="18"/>
          <w:szCs w:val="18"/>
        </w:rPr>
      </w:pPr>
      <w:r w:rsidRPr="00097B85">
        <w:rPr>
          <w:noProof/>
        </w:rPr>
        <w:drawing>
          <wp:inline distT="0" distB="0" distL="0" distR="0" wp14:anchorId="1575DEBA" wp14:editId="5EB9A8EC">
            <wp:extent cx="6115050" cy="947420"/>
            <wp:effectExtent l="0" t="0" r="0" b="5080"/>
            <wp:docPr id="193311350" name="Bildobjekt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15050" cy="947420"/>
                    </a:xfrm>
                    <a:prstGeom prst="rect">
                      <a:avLst/>
                    </a:prstGeom>
                    <a:noFill/>
                    <a:ln>
                      <a:noFill/>
                    </a:ln>
                  </pic:spPr>
                </pic:pic>
              </a:graphicData>
            </a:graphic>
          </wp:inline>
        </w:drawing>
      </w:r>
    </w:p>
    <w:p w14:paraId="738E32BE" w14:textId="77777777" w:rsidR="001304E4" w:rsidRDefault="001304E4" w:rsidP="001B075C">
      <w:pPr>
        <w:pStyle w:val="Rubrik5"/>
        <w:rPr>
          <w:b w:val="0"/>
          <w:bCs w:val="0"/>
          <w:sz w:val="18"/>
          <w:szCs w:val="18"/>
        </w:rPr>
      </w:pPr>
    </w:p>
    <w:p w14:paraId="77F05F1F" w14:textId="341C48BB" w:rsidR="001304E4" w:rsidRDefault="00FC180E" w:rsidP="001B075C">
      <w:pPr>
        <w:pStyle w:val="Rubrik5"/>
        <w:rPr>
          <w:b w:val="0"/>
          <w:bCs w:val="0"/>
          <w:sz w:val="18"/>
          <w:szCs w:val="18"/>
        </w:rPr>
      </w:pPr>
      <w:r w:rsidRPr="00FC180E">
        <w:rPr>
          <w:b w:val="0"/>
          <w:bCs w:val="0"/>
          <w:sz w:val="18"/>
          <w:szCs w:val="18"/>
        </w:rPr>
        <w:t>The subsidiary JY Group AB, which is 100% owned by JY Holding AB (publ), acquired all of JY Holding AB (publ)'s shares in all subsidiaries except the subsidiary in Germany in 2023. JY Group AB has no operations and the purpose of the restructuring was a requirement to facilitate the pledging procedure in a bond issue.</w:t>
      </w:r>
    </w:p>
    <w:p w14:paraId="5A6EA039" w14:textId="6105969A" w:rsidR="00345466" w:rsidRDefault="00345466">
      <w:pPr>
        <w:rPr>
          <w:sz w:val="18"/>
          <w:szCs w:val="18"/>
        </w:rPr>
      </w:pPr>
      <w:r>
        <w:rPr>
          <w:b/>
          <w:bCs/>
          <w:sz w:val="18"/>
          <w:szCs w:val="18"/>
        </w:rPr>
        <w:br w:type="page"/>
      </w:r>
    </w:p>
    <w:p w14:paraId="3C650564" w14:textId="44C1575A" w:rsidR="00987DAC" w:rsidRDefault="00016B4C">
      <w:pPr>
        <w:pStyle w:val="Rubrik5"/>
        <w:rPr>
          <w:spacing w:val="-2"/>
        </w:rPr>
      </w:pPr>
      <w:r w:rsidRPr="00513696">
        <w:lastRenderedPageBreak/>
        <w:t>Note</w:t>
      </w:r>
      <w:r w:rsidRPr="00513696">
        <w:rPr>
          <w:spacing w:val="-3"/>
        </w:rPr>
        <w:t xml:space="preserve"> </w:t>
      </w:r>
      <w:r w:rsidR="00FC180E" w:rsidRPr="00513696">
        <w:t>10</w:t>
      </w:r>
      <w:r w:rsidRPr="00513696">
        <w:rPr>
          <w:spacing w:val="-2"/>
        </w:rPr>
        <w:t xml:space="preserve"> </w:t>
      </w:r>
      <w:r w:rsidRPr="00513696">
        <w:t>Shares</w:t>
      </w:r>
      <w:r w:rsidRPr="00513696">
        <w:rPr>
          <w:spacing w:val="-3"/>
        </w:rPr>
        <w:t xml:space="preserve"> </w:t>
      </w:r>
      <w:r w:rsidRPr="00513696">
        <w:t>in</w:t>
      </w:r>
      <w:r w:rsidRPr="00513696">
        <w:rPr>
          <w:spacing w:val="-5"/>
        </w:rPr>
        <w:t xml:space="preserve"> </w:t>
      </w:r>
      <w:r w:rsidRPr="00513696">
        <w:t>Group</w:t>
      </w:r>
      <w:r w:rsidRPr="00513696">
        <w:rPr>
          <w:spacing w:val="-3"/>
        </w:rPr>
        <w:t xml:space="preserve"> </w:t>
      </w:r>
      <w:r w:rsidRPr="00513696">
        <w:rPr>
          <w:spacing w:val="-2"/>
        </w:rPr>
        <w:t>Companies</w:t>
      </w:r>
    </w:p>
    <w:p w14:paraId="115D0C50" w14:textId="77777777" w:rsidR="00340842" w:rsidRPr="00340842" w:rsidRDefault="00340842">
      <w:pPr>
        <w:pStyle w:val="Rubrik5"/>
        <w:rPr>
          <w:spacing w:val="-2"/>
          <w:sz w:val="18"/>
          <w:szCs w:val="18"/>
        </w:rPr>
      </w:pPr>
    </w:p>
    <w:p w14:paraId="642F86CC" w14:textId="006B43FC" w:rsidR="00340842" w:rsidRPr="00D51D84" w:rsidRDefault="003B7FEF">
      <w:pPr>
        <w:pStyle w:val="Rubrik5"/>
        <w:rPr>
          <w:spacing w:val="-2"/>
          <w:sz w:val="18"/>
          <w:szCs w:val="18"/>
        </w:rPr>
      </w:pPr>
      <w:r w:rsidRPr="003B7FEF">
        <w:rPr>
          <w:noProof/>
        </w:rPr>
        <w:drawing>
          <wp:inline distT="0" distB="0" distL="0" distR="0" wp14:anchorId="407199DE" wp14:editId="2639CFF8">
            <wp:extent cx="6115050" cy="2418080"/>
            <wp:effectExtent l="0" t="0" r="0" b="1270"/>
            <wp:docPr id="748684801"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15050" cy="2418080"/>
                    </a:xfrm>
                    <a:prstGeom prst="rect">
                      <a:avLst/>
                    </a:prstGeom>
                    <a:noFill/>
                    <a:ln>
                      <a:noFill/>
                    </a:ln>
                  </pic:spPr>
                </pic:pic>
              </a:graphicData>
            </a:graphic>
          </wp:inline>
        </w:drawing>
      </w:r>
    </w:p>
    <w:p w14:paraId="3C6505AA" w14:textId="77777777" w:rsidR="00987DAC" w:rsidRPr="00D51D84" w:rsidRDefault="00016B4C">
      <w:pPr>
        <w:pStyle w:val="Brdtext"/>
        <w:spacing w:before="234"/>
        <w:ind w:left="118"/>
        <w:rPr>
          <w:i/>
          <w:iCs/>
        </w:rPr>
      </w:pPr>
      <w:r w:rsidRPr="00D51D84">
        <w:rPr>
          <w:i/>
          <w:iCs/>
        </w:rPr>
        <w:t>¹</w:t>
      </w:r>
      <w:r w:rsidRPr="00D51D84">
        <w:rPr>
          <w:i/>
          <w:iCs/>
          <w:spacing w:val="-8"/>
        </w:rPr>
        <w:t xml:space="preserve"> </w:t>
      </w:r>
      <w:r w:rsidRPr="00D51D84">
        <w:rPr>
          <w:i/>
          <w:iCs/>
        </w:rPr>
        <w:t>Capital</w:t>
      </w:r>
      <w:r w:rsidRPr="00D51D84">
        <w:rPr>
          <w:i/>
          <w:iCs/>
          <w:spacing w:val="-7"/>
        </w:rPr>
        <w:t xml:space="preserve"> </w:t>
      </w:r>
      <w:r w:rsidRPr="00D51D84">
        <w:rPr>
          <w:i/>
          <w:iCs/>
        </w:rPr>
        <w:t>share</w:t>
      </w:r>
      <w:r w:rsidRPr="00D51D84">
        <w:rPr>
          <w:i/>
          <w:iCs/>
          <w:spacing w:val="-9"/>
        </w:rPr>
        <w:t xml:space="preserve"> </w:t>
      </w:r>
      <w:r w:rsidRPr="00D51D84">
        <w:rPr>
          <w:i/>
          <w:iCs/>
        </w:rPr>
        <w:t>agrees</w:t>
      </w:r>
      <w:r w:rsidRPr="00D51D84">
        <w:rPr>
          <w:i/>
          <w:iCs/>
          <w:spacing w:val="-7"/>
        </w:rPr>
        <w:t xml:space="preserve"> </w:t>
      </w:r>
      <w:r w:rsidRPr="00D51D84">
        <w:rPr>
          <w:i/>
          <w:iCs/>
        </w:rPr>
        <w:t>with</w:t>
      </w:r>
      <w:r w:rsidRPr="00D51D84">
        <w:rPr>
          <w:i/>
          <w:iCs/>
          <w:spacing w:val="-7"/>
        </w:rPr>
        <w:t xml:space="preserve"> </w:t>
      </w:r>
      <w:r w:rsidRPr="00D51D84">
        <w:rPr>
          <w:i/>
          <w:iCs/>
        </w:rPr>
        <w:t>voting</w:t>
      </w:r>
      <w:r w:rsidRPr="00D51D84">
        <w:rPr>
          <w:i/>
          <w:iCs/>
          <w:spacing w:val="-8"/>
        </w:rPr>
        <w:t xml:space="preserve"> </w:t>
      </w:r>
      <w:r w:rsidRPr="00D51D84">
        <w:rPr>
          <w:i/>
          <w:iCs/>
          <w:spacing w:val="-2"/>
        </w:rPr>
        <w:t>rights.</w:t>
      </w:r>
    </w:p>
    <w:p w14:paraId="3C6506F0" w14:textId="77777777" w:rsidR="00987DAC" w:rsidRPr="006F518D" w:rsidRDefault="00987DAC">
      <w:pPr>
        <w:pStyle w:val="Brdtext"/>
        <w:spacing w:before="95"/>
        <w:rPr>
          <w:sz w:val="24"/>
        </w:rPr>
      </w:pPr>
    </w:p>
    <w:p w14:paraId="3C6506F1" w14:textId="321A4801" w:rsidR="00987DAC" w:rsidRPr="006F518D" w:rsidRDefault="00016B4C">
      <w:pPr>
        <w:pStyle w:val="Rubrik5"/>
      </w:pPr>
      <w:r w:rsidRPr="006F518D">
        <w:t xml:space="preserve">Note </w:t>
      </w:r>
      <w:r w:rsidR="00E117A3" w:rsidRPr="006F518D">
        <w:t>11</w:t>
      </w:r>
      <w:r w:rsidRPr="006F518D">
        <w:t xml:space="preserve"> Receivables from group companies</w:t>
      </w:r>
    </w:p>
    <w:p w14:paraId="3C6506F2" w14:textId="77777777" w:rsidR="00987DAC" w:rsidRPr="00504856" w:rsidRDefault="00987DAC" w:rsidP="006F518D">
      <w:pPr>
        <w:pStyle w:val="Rubrik5"/>
        <w:rPr>
          <w:sz w:val="18"/>
          <w:szCs w:val="18"/>
        </w:rPr>
      </w:pPr>
    </w:p>
    <w:p w14:paraId="24F5A368" w14:textId="66D3E349" w:rsidR="00E117A3" w:rsidRPr="006F518D" w:rsidRDefault="006F518D" w:rsidP="006F518D">
      <w:pPr>
        <w:pStyle w:val="Rubrik5"/>
      </w:pPr>
      <w:r w:rsidRPr="006F518D">
        <w:rPr>
          <w:noProof/>
        </w:rPr>
        <w:drawing>
          <wp:inline distT="0" distB="0" distL="0" distR="0" wp14:anchorId="20B90EF2" wp14:editId="4528D4A1">
            <wp:extent cx="6115050" cy="1960245"/>
            <wp:effectExtent l="0" t="0" r="0" b="1905"/>
            <wp:docPr id="318277813"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15050" cy="1960245"/>
                    </a:xfrm>
                    <a:prstGeom prst="rect">
                      <a:avLst/>
                    </a:prstGeom>
                    <a:noFill/>
                    <a:ln>
                      <a:noFill/>
                    </a:ln>
                  </pic:spPr>
                </pic:pic>
              </a:graphicData>
            </a:graphic>
          </wp:inline>
        </w:drawing>
      </w:r>
    </w:p>
    <w:p w14:paraId="34599803" w14:textId="77777777" w:rsidR="006F518D" w:rsidRPr="00504856" w:rsidRDefault="006F518D" w:rsidP="00504856">
      <w:pPr>
        <w:pStyle w:val="Rubrik5"/>
        <w:rPr>
          <w:sz w:val="18"/>
          <w:szCs w:val="18"/>
        </w:rPr>
      </w:pPr>
    </w:p>
    <w:p w14:paraId="49B244C7" w14:textId="18353BBD" w:rsidR="00E117A3" w:rsidRPr="00504856" w:rsidRDefault="00E117A3" w:rsidP="00E117A3">
      <w:pPr>
        <w:pStyle w:val="Rubrik5"/>
        <w:rPr>
          <w:spacing w:val="-3"/>
        </w:rPr>
      </w:pPr>
      <w:r w:rsidRPr="00504856">
        <w:t>Note</w:t>
      </w:r>
      <w:r w:rsidRPr="00504856">
        <w:rPr>
          <w:spacing w:val="-3"/>
        </w:rPr>
        <w:t xml:space="preserve"> </w:t>
      </w:r>
      <w:r w:rsidRPr="00504856">
        <w:t>12</w:t>
      </w:r>
      <w:r w:rsidRPr="00504856">
        <w:rPr>
          <w:spacing w:val="-3"/>
        </w:rPr>
        <w:t xml:space="preserve"> Prepaid expenses and accrued revenue</w:t>
      </w:r>
    </w:p>
    <w:p w14:paraId="257E7E0B" w14:textId="77777777" w:rsidR="00504856" w:rsidRPr="00504856" w:rsidRDefault="00504856" w:rsidP="00E117A3">
      <w:pPr>
        <w:pStyle w:val="Rubrik5"/>
        <w:rPr>
          <w:sz w:val="18"/>
          <w:szCs w:val="18"/>
        </w:rPr>
      </w:pPr>
    </w:p>
    <w:p w14:paraId="3FF1FB49" w14:textId="15DAEF4C" w:rsidR="00E117A3" w:rsidRPr="00504856" w:rsidRDefault="00504856" w:rsidP="00E117A3">
      <w:pPr>
        <w:pStyle w:val="Brdtext"/>
        <w:spacing w:before="107" w:line="264" w:lineRule="auto"/>
        <w:ind w:left="118" w:right="591"/>
      </w:pPr>
      <w:r w:rsidRPr="00504856">
        <w:rPr>
          <w:noProof/>
        </w:rPr>
        <w:drawing>
          <wp:inline distT="0" distB="0" distL="0" distR="0" wp14:anchorId="0EC5274F" wp14:editId="5AFF7B3F">
            <wp:extent cx="6115050" cy="759460"/>
            <wp:effectExtent l="0" t="0" r="0" b="2540"/>
            <wp:docPr id="178903000" name="Bildobjekt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115050" cy="759460"/>
                    </a:xfrm>
                    <a:prstGeom prst="rect">
                      <a:avLst/>
                    </a:prstGeom>
                    <a:noFill/>
                    <a:ln>
                      <a:noFill/>
                    </a:ln>
                  </pic:spPr>
                </pic:pic>
              </a:graphicData>
            </a:graphic>
          </wp:inline>
        </w:drawing>
      </w:r>
    </w:p>
    <w:p w14:paraId="00F52489" w14:textId="77777777" w:rsidR="00504856" w:rsidRPr="00504856" w:rsidRDefault="00504856" w:rsidP="00504856">
      <w:pPr>
        <w:pStyle w:val="Rubrik5"/>
        <w:rPr>
          <w:sz w:val="18"/>
          <w:szCs w:val="18"/>
        </w:rPr>
      </w:pPr>
    </w:p>
    <w:p w14:paraId="4762C8C2" w14:textId="7D8D6394" w:rsidR="00504856" w:rsidRPr="00504856" w:rsidRDefault="00016B4C" w:rsidP="00504856">
      <w:pPr>
        <w:pStyle w:val="Rubrik5"/>
      </w:pPr>
      <w:r w:rsidRPr="00504856">
        <w:t>Note 1</w:t>
      </w:r>
      <w:r w:rsidR="00E117A3" w:rsidRPr="00504856">
        <w:t>3</w:t>
      </w:r>
      <w:r w:rsidRPr="00504856">
        <w:t xml:space="preserve"> Cash and cash equivalents</w:t>
      </w:r>
    </w:p>
    <w:p w14:paraId="3C650722" w14:textId="77777777" w:rsidR="00987DAC" w:rsidRDefault="00987DAC" w:rsidP="00504856">
      <w:pPr>
        <w:pStyle w:val="Rubrik5"/>
        <w:rPr>
          <w:sz w:val="18"/>
          <w:szCs w:val="18"/>
        </w:rPr>
      </w:pPr>
    </w:p>
    <w:p w14:paraId="49A8226F" w14:textId="13A5D43B" w:rsidR="001934D8" w:rsidRPr="001934D8" w:rsidRDefault="001934D8" w:rsidP="00504856">
      <w:pPr>
        <w:pStyle w:val="Rubrik5"/>
        <w:rPr>
          <w:sz w:val="18"/>
          <w:szCs w:val="18"/>
        </w:rPr>
      </w:pPr>
      <w:r w:rsidRPr="001934D8">
        <w:rPr>
          <w:noProof/>
        </w:rPr>
        <w:drawing>
          <wp:inline distT="0" distB="0" distL="0" distR="0" wp14:anchorId="614D32DC" wp14:editId="7B467028">
            <wp:extent cx="6115050" cy="468630"/>
            <wp:effectExtent l="0" t="0" r="0" b="0"/>
            <wp:docPr id="1568832628" name="Bildobjekt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15050" cy="468630"/>
                    </a:xfrm>
                    <a:prstGeom prst="rect">
                      <a:avLst/>
                    </a:prstGeom>
                    <a:noFill/>
                    <a:ln>
                      <a:noFill/>
                    </a:ln>
                  </pic:spPr>
                </pic:pic>
              </a:graphicData>
            </a:graphic>
          </wp:inline>
        </w:drawing>
      </w:r>
    </w:p>
    <w:p w14:paraId="6C3B3D2C" w14:textId="1990059C" w:rsidR="001934D8" w:rsidRPr="001934D8" w:rsidRDefault="001934D8">
      <w:pPr>
        <w:rPr>
          <w:sz w:val="18"/>
          <w:szCs w:val="18"/>
        </w:rPr>
      </w:pPr>
      <w:r w:rsidRPr="001934D8">
        <w:br w:type="page"/>
      </w:r>
    </w:p>
    <w:p w14:paraId="3C650723" w14:textId="35A3E34C" w:rsidR="00987DAC" w:rsidRPr="001934D8" w:rsidRDefault="00016B4C">
      <w:pPr>
        <w:pStyle w:val="Rubrik5"/>
      </w:pPr>
      <w:r w:rsidRPr="001934D8">
        <w:lastRenderedPageBreak/>
        <w:t>Note</w:t>
      </w:r>
      <w:r w:rsidRPr="001934D8">
        <w:rPr>
          <w:spacing w:val="-3"/>
        </w:rPr>
        <w:t xml:space="preserve"> </w:t>
      </w:r>
      <w:r w:rsidR="00B35D5A" w:rsidRPr="001934D8">
        <w:t>14</w:t>
      </w:r>
      <w:r w:rsidRPr="001934D8">
        <w:rPr>
          <w:spacing w:val="-3"/>
        </w:rPr>
        <w:t xml:space="preserve"> </w:t>
      </w:r>
      <w:r w:rsidRPr="001934D8">
        <w:t>Share</w:t>
      </w:r>
      <w:r w:rsidRPr="001934D8">
        <w:rPr>
          <w:spacing w:val="-5"/>
        </w:rPr>
        <w:t xml:space="preserve"> </w:t>
      </w:r>
      <w:r w:rsidRPr="001934D8">
        <w:rPr>
          <w:spacing w:val="-2"/>
        </w:rPr>
        <w:t>capital</w:t>
      </w:r>
    </w:p>
    <w:p w14:paraId="150D990E" w14:textId="77777777" w:rsidR="00B00C7C" w:rsidRDefault="00B00C7C" w:rsidP="00B00C7C">
      <w:pPr>
        <w:pStyle w:val="Brdtext"/>
        <w:spacing w:before="107" w:line="264" w:lineRule="auto"/>
        <w:ind w:left="118" w:right="591"/>
      </w:pPr>
      <w:r w:rsidRPr="001934D8">
        <w:t xml:space="preserve">The share capital amounts to SEK 530,542.58 (SEK 530,746.16) as of 31 December 2024. The number of </w:t>
      </w:r>
      <w:r w:rsidRPr="003B24D8">
        <w:t>shares is distributed as follows:</w:t>
      </w:r>
    </w:p>
    <w:p w14:paraId="45B56ABE" w14:textId="0418CA83" w:rsidR="00B00C7C" w:rsidRDefault="00B00C7C" w:rsidP="00B00C7C">
      <w:pPr>
        <w:pStyle w:val="Brdtext"/>
        <w:spacing w:before="109" w:line="261" w:lineRule="auto"/>
        <w:ind w:left="118" w:right="301"/>
      </w:pPr>
      <w:r>
        <w:t>Name</w:t>
      </w:r>
      <w:r w:rsidRPr="007856E1">
        <w:tab/>
      </w:r>
      <w:r w:rsidRPr="007856E1">
        <w:tab/>
      </w:r>
      <w:r w:rsidRPr="007856E1">
        <w:tab/>
      </w:r>
      <w:r>
        <w:t>No of shares</w:t>
      </w:r>
      <w:r w:rsidRPr="007856E1">
        <w:tab/>
      </w:r>
      <w:r>
        <w:t>Quota share</w:t>
      </w:r>
      <w:r w:rsidRPr="007856E1">
        <w:br/>
      </w:r>
      <w:r>
        <w:t>Common shares</w:t>
      </w:r>
      <w:r w:rsidRPr="007856E1">
        <w:tab/>
      </w:r>
      <w:r w:rsidRPr="007856E1">
        <w:tab/>
        <w:t>57 301</w:t>
      </w:r>
      <w:r w:rsidRPr="007856E1">
        <w:tab/>
      </w:r>
      <w:r w:rsidRPr="007856E1">
        <w:tab/>
        <w:t>6,79</w:t>
      </w:r>
      <w:r w:rsidRPr="007856E1">
        <w:br/>
        <w:t>Pref A</w:t>
      </w:r>
      <w:r w:rsidRPr="007856E1">
        <w:tab/>
      </w:r>
      <w:r w:rsidRPr="007856E1">
        <w:tab/>
      </w:r>
      <w:r w:rsidRPr="007856E1">
        <w:tab/>
        <w:t>20 834</w:t>
      </w:r>
      <w:r w:rsidRPr="007856E1">
        <w:tab/>
      </w:r>
      <w:r w:rsidRPr="007856E1">
        <w:tab/>
        <w:t>6,79</w:t>
      </w:r>
      <w:r w:rsidRPr="007856E1">
        <w:br/>
        <w:t>Pref B</w:t>
      </w:r>
      <w:r w:rsidRPr="007856E1">
        <w:tab/>
      </w:r>
      <w:r w:rsidRPr="007856E1">
        <w:tab/>
      </w:r>
      <w:r w:rsidRPr="007856E1">
        <w:tab/>
        <w:t xml:space="preserve">     </w:t>
      </w:r>
      <w:r w:rsidR="00466B8D">
        <w:t xml:space="preserve">  </w:t>
      </w:r>
      <w:r>
        <w:t>50</w:t>
      </w:r>
      <w:r w:rsidRPr="007856E1">
        <w:tab/>
      </w:r>
      <w:r w:rsidRPr="007856E1">
        <w:tab/>
        <w:t>6,79</w:t>
      </w:r>
    </w:p>
    <w:p w14:paraId="13E13C85" w14:textId="18A479BE" w:rsidR="008A061F" w:rsidRDefault="008A061F" w:rsidP="00DE2E5C">
      <w:pPr>
        <w:pStyle w:val="Brdtext"/>
        <w:spacing w:before="107" w:line="264" w:lineRule="auto"/>
        <w:ind w:right="591"/>
      </w:pPr>
    </w:p>
    <w:p w14:paraId="27A9C869" w14:textId="589475D5" w:rsidR="008A061F" w:rsidRDefault="00ED3E21" w:rsidP="00B00C7C">
      <w:pPr>
        <w:pStyle w:val="Brdtext"/>
        <w:spacing w:before="107" w:line="264" w:lineRule="auto"/>
        <w:ind w:left="118" w:right="591"/>
      </w:pPr>
      <w:r w:rsidRPr="00312CEE">
        <w:rPr>
          <w:noProof/>
        </w:rPr>
        <w:drawing>
          <wp:inline distT="0" distB="0" distL="0" distR="0" wp14:anchorId="52794851" wp14:editId="11D82066">
            <wp:extent cx="4248150" cy="771525"/>
            <wp:effectExtent l="0" t="0" r="0" b="9525"/>
            <wp:docPr id="537702333"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48150" cy="771525"/>
                    </a:xfrm>
                    <a:prstGeom prst="rect">
                      <a:avLst/>
                    </a:prstGeom>
                    <a:noFill/>
                    <a:ln>
                      <a:noFill/>
                    </a:ln>
                  </pic:spPr>
                </pic:pic>
              </a:graphicData>
            </a:graphic>
          </wp:inline>
        </w:drawing>
      </w:r>
    </w:p>
    <w:p w14:paraId="7C9CECAB" w14:textId="77777777" w:rsidR="00C1108B" w:rsidRDefault="00C1108B" w:rsidP="00B00C7C">
      <w:pPr>
        <w:pStyle w:val="Brdtext"/>
        <w:spacing w:before="107" w:line="264" w:lineRule="auto"/>
        <w:ind w:left="118" w:right="591"/>
      </w:pPr>
    </w:p>
    <w:p w14:paraId="3C65072B" w14:textId="66389BF7" w:rsidR="00987DAC" w:rsidRPr="00D8404C" w:rsidRDefault="00016B4C">
      <w:pPr>
        <w:pStyle w:val="Rubrik5"/>
      </w:pPr>
      <w:r w:rsidRPr="00D8404C">
        <w:t>Note 1</w:t>
      </w:r>
      <w:r w:rsidR="00B35D5A" w:rsidRPr="00D8404C">
        <w:t>5</w:t>
      </w:r>
      <w:r w:rsidRPr="00D8404C">
        <w:t xml:space="preserve"> Non-current liabilities</w:t>
      </w:r>
    </w:p>
    <w:p w14:paraId="3C65072C" w14:textId="77777777" w:rsidR="00987DAC" w:rsidRPr="00D8404C" w:rsidRDefault="00987DAC" w:rsidP="00D8404C">
      <w:pPr>
        <w:pStyle w:val="Rubrik5"/>
      </w:pPr>
    </w:p>
    <w:p w14:paraId="3C65072D" w14:textId="58FA1616" w:rsidR="00987DAC" w:rsidRPr="00D8404C" w:rsidRDefault="00CF59E7" w:rsidP="00D8404C">
      <w:pPr>
        <w:pStyle w:val="Rubrik5"/>
      </w:pPr>
      <w:r w:rsidRPr="00CF59E7">
        <w:rPr>
          <w:noProof/>
        </w:rPr>
        <w:drawing>
          <wp:inline distT="0" distB="0" distL="0" distR="0" wp14:anchorId="7C96A965" wp14:editId="6CA37B33">
            <wp:extent cx="6115050" cy="799465"/>
            <wp:effectExtent l="0" t="0" r="0" b="635"/>
            <wp:docPr id="213115147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115050" cy="799465"/>
                    </a:xfrm>
                    <a:prstGeom prst="rect">
                      <a:avLst/>
                    </a:prstGeom>
                    <a:noFill/>
                    <a:ln>
                      <a:noFill/>
                    </a:ln>
                  </pic:spPr>
                </pic:pic>
              </a:graphicData>
            </a:graphic>
          </wp:inline>
        </w:drawing>
      </w:r>
    </w:p>
    <w:p w14:paraId="3C65072E" w14:textId="77777777" w:rsidR="00987DAC" w:rsidRPr="00EB7B7D" w:rsidRDefault="00987DAC" w:rsidP="00EB7B7D">
      <w:pPr>
        <w:pStyle w:val="Rubrik5"/>
      </w:pPr>
    </w:p>
    <w:p w14:paraId="3C65072F" w14:textId="58897A8C" w:rsidR="00987DAC" w:rsidRPr="00EB7B7D" w:rsidRDefault="00CF59E7" w:rsidP="00EB7B7D">
      <w:pPr>
        <w:pStyle w:val="Rubrik5"/>
      </w:pPr>
      <w:r w:rsidRPr="00CF59E7">
        <w:rPr>
          <w:noProof/>
        </w:rPr>
        <w:drawing>
          <wp:inline distT="0" distB="0" distL="0" distR="0" wp14:anchorId="377BD4CB" wp14:editId="72151E0D">
            <wp:extent cx="6115050" cy="2328545"/>
            <wp:effectExtent l="0" t="0" r="0" b="0"/>
            <wp:docPr id="190087984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15050" cy="2328545"/>
                    </a:xfrm>
                    <a:prstGeom prst="rect">
                      <a:avLst/>
                    </a:prstGeom>
                    <a:noFill/>
                    <a:ln>
                      <a:noFill/>
                    </a:ln>
                  </pic:spPr>
                </pic:pic>
              </a:graphicData>
            </a:graphic>
          </wp:inline>
        </w:drawing>
      </w:r>
    </w:p>
    <w:p w14:paraId="22FA7870" w14:textId="77777777" w:rsidR="00ED4C24" w:rsidRPr="00BA52F2" w:rsidRDefault="00ED4C24" w:rsidP="00ED4C24">
      <w:pPr>
        <w:pStyle w:val="Brdtext"/>
        <w:ind w:left="118"/>
      </w:pPr>
    </w:p>
    <w:p w14:paraId="178CC795" w14:textId="2AC97579" w:rsidR="00B3109B" w:rsidRPr="00CB0DE6" w:rsidRDefault="00B3109B" w:rsidP="00B3109B">
      <w:pPr>
        <w:pStyle w:val="Brdtext"/>
        <w:spacing w:line="264" w:lineRule="auto"/>
        <w:ind w:left="118" w:right="262"/>
        <w:rPr>
          <w:lang w:val="sv-SE"/>
        </w:rPr>
      </w:pPr>
      <w:r w:rsidRPr="00CB0DE6">
        <w:rPr>
          <w:lang w:val="sv-SE"/>
        </w:rPr>
        <w:t xml:space="preserve">See note </w:t>
      </w:r>
      <w:r>
        <w:rPr>
          <w:lang w:val="sv-SE"/>
        </w:rPr>
        <w:t>4</w:t>
      </w:r>
      <w:r w:rsidRPr="00CB0DE6">
        <w:rPr>
          <w:lang w:val="sv-SE"/>
        </w:rPr>
        <w:t xml:space="preserve"> for the Group's notes for details regarding</w:t>
      </w:r>
      <w:r w:rsidR="002001D4">
        <w:rPr>
          <w:lang w:val="sv-SE"/>
        </w:rPr>
        <w:t xml:space="preserve"> loan terms etc</w:t>
      </w:r>
    </w:p>
    <w:p w14:paraId="3C650734" w14:textId="77777777" w:rsidR="00987DAC" w:rsidRPr="001E17B4" w:rsidRDefault="00987DAC">
      <w:pPr>
        <w:pStyle w:val="Brdtext"/>
      </w:pPr>
    </w:p>
    <w:p w14:paraId="3B8982E8" w14:textId="7D93A618" w:rsidR="001E17B4" w:rsidRPr="00D8404C" w:rsidRDefault="001E17B4" w:rsidP="001E17B4">
      <w:pPr>
        <w:pStyle w:val="Rubrik5"/>
      </w:pPr>
      <w:r w:rsidRPr="00D8404C">
        <w:t>Note 1</w:t>
      </w:r>
      <w:r>
        <w:t>6</w:t>
      </w:r>
      <w:r w:rsidRPr="00D8404C">
        <w:t xml:space="preserve"> </w:t>
      </w:r>
      <w:r>
        <w:t>Accrued expenses and prepaid revenue</w:t>
      </w:r>
    </w:p>
    <w:p w14:paraId="256FC3F7" w14:textId="77777777" w:rsidR="001E17B4" w:rsidRPr="00D8404C" w:rsidRDefault="001E17B4" w:rsidP="001E17B4">
      <w:pPr>
        <w:pStyle w:val="Rubrik5"/>
      </w:pPr>
    </w:p>
    <w:p w14:paraId="4BBDB1B9" w14:textId="6BD5C552" w:rsidR="001E17B4" w:rsidRPr="00D8404C" w:rsidRDefault="00B160AD" w:rsidP="001E17B4">
      <w:pPr>
        <w:pStyle w:val="Rubrik5"/>
      </w:pPr>
      <w:r w:rsidRPr="00B160AD">
        <w:rPr>
          <w:noProof/>
        </w:rPr>
        <w:drawing>
          <wp:inline distT="0" distB="0" distL="0" distR="0" wp14:anchorId="5A517A06" wp14:editId="3DF901B7">
            <wp:extent cx="6115050" cy="759460"/>
            <wp:effectExtent l="0" t="0" r="0" b="2540"/>
            <wp:docPr id="1661856711" name="Bildobjek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15050" cy="759460"/>
                    </a:xfrm>
                    <a:prstGeom prst="rect">
                      <a:avLst/>
                    </a:prstGeom>
                    <a:noFill/>
                    <a:ln>
                      <a:noFill/>
                    </a:ln>
                  </pic:spPr>
                </pic:pic>
              </a:graphicData>
            </a:graphic>
          </wp:inline>
        </w:drawing>
      </w:r>
    </w:p>
    <w:p w14:paraId="49C33178" w14:textId="77777777" w:rsidR="00E51ACF" w:rsidRDefault="00E51ACF">
      <w:pPr>
        <w:rPr>
          <w:b/>
          <w:bCs/>
          <w:sz w:val="24"/>
          <w:szCs w:val="24"/>
        </w:rPr>
      </w:pPr>
      <w:r>
        <w:br w:type="page"/>
      </w:r>
    </w:p>
    <w:p w14:paraId="3C65073F" w14:textId="54367F6C" w:rsidR="00987DAC" w:rsidRDefault="00016B4C">
      <w:pPr>
        <w:pStyle w:val="Rubrik5"/>
        <w:rPr>
          <w:spacing w:val="-2"/>
        </w:rPr>
      </w:pPr>
      <w:r w:rsidRPr="00E51ACF">
        <w:lastRenderedPageBreak/>
        <w:t>Note</w:t>
      </w:r>
      <w:r w:rsidRPr="00E51ACF">
        <w:rPr>
          <w:spacing w:val="-4"/>
        </w:rPr>
        <w:t xml:space="preserve"> </w:t>
      </w:r>
      <w:r w:rsidRPr="00E51ACF">
        <w:t>1</w:t>
      </w:r>
      <w:r w:rsidR="00B35D5A" w:rsidRPr="00E51ACF">
        <w:t>7</w:t>
      </w:r>
      <w:r w:rsidRPr="00E51ACF">
        <w:rPr>
          <w:spacing w:val="-3"/>
        </w:rPr>
        <w:t xml:space="preserve"> </w:t>
      </w:r>
      <w:r w:rsidRPr="00E51ACF">
        <w:t>Reconciliation</w:t>
      </w:r>
      <w:r w:rsidRPr="00E51ACF">
        <w:rPr>
          <w:spacing w:val="-3"/>
        </w:rPr>
        <w:t xml:space="preserve"> </w:t>
      </w:r>
      <w:r w:rsidRPr="00E51ACF">
        <w:t>of</w:t>
      </w:r>
      <w:r w:rsidRPr="00E51ACF">
        <w:rPr>
          <w:spacing w:val="-4"/>
        </w:rPr>
        <w:t xml:space="preserve"> </w:t>
      </w:r>
      <w:r w:rsidRPr="00E51ACF">
        <w:t>liabilities</w:t>
      </w:r>
      <w:r w:rsidRPr="00E51ACF">
        <w:rPr>
          <w:spacing w:val="-4"/>
        </w:rPr>
        <w:t xml:space="preserve"> </w:t>
      </w:r>
      <w:r w:rsidRPr="00E51ACF">
        <w:t>from</w:t>
      </w:r>
      <w:r w:rsidRPr="00E51ACF">
        <w:rPr>
          <w:spacing w:val="-3"/>
        </w:rPr>
        <w:t xml:space="preserve"> </w:t>
      </w:r>
      <w:r w:rsidRPr="00E51ACF">
        <w:t>the</w:t>
      </w:r>
      <w:r w:rsidRPr="00E51ACF">
        <w:rPr>
          <w:spacing w:val="-4"/>
        </w:rPr>
        <w:t xml:space="preserve"> </w:t>
      </w:r>
      <w:r w:rsidRPr="00E51ACF">
        <w:t>financing</w:t>
      </w:r>
      <w:r w:rsidRPr="00E51ACF">
        <w:rPr>
          <w:spacing w:val="-5"/>
        </w:rPr>
        <w:t xml:space="preserve"> </w:t>
      </w:r>
      <w:r w:rsidRPr="00E51ACF">
        <w:rPr>
          <w:spacing w:val="-2"/>
        </w:rPr>
        <w:t>activities</w:t>
      </w:r>
    </w:p>
    <w:p w14:paraId="1C96F6EC" w14:textId="77777777" w:rsidR="00E51ACF" w:rsidRDefault="00E51ACF">
      <w:pPr>
        <w:pStyle w:val="Rubrik5"/>
        <w:rPr>
          <w:sz w:val="18"/>
          <w:szCs w:val="18"/>
        </w:rPr>
      </w:pPr>
    </w:p>
    <w:p w14:paraId="1510665A" w14:textId="112B4CC1" w:rsidR="00E51ACF" w:rsidRDefault="002C14CB">
      <w:pPr>
        <w:pStyle w:val="Rubrik5"/>
        <w:rPr>
          <w:sz w:val="18"/>
          <w:szCs w:val="18"/>
        </w:rPr>
      </w:pPr>
      <w:r w:rsidRPr="002C14CB">
        <w:rPr>
          <w:noProof/>
        </w:rPr>
        <w:drawing>
          <wp:inline distT="0" distB="0" distL="0" distR="0" wp14:anchorId="04A4AD9E" wp14:editId="77B1C91A">
            <wp:extent cx="5648325" cy="1937323"/>
            <wp:effectExtent l="0" t="0" r="0" b="6350"/>
            <wp:docPr id="39599839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55607" cy="1939821"/>
                    </a:xfrm>
                    <a:prstGeom prst="rect">
                      <a:avLst/>
                    </a:prstGeom>
                    <a:noFill/>
                    <a:ln>
                      <a:noFill/>
                    </a:ln>
                  </pic:spPr>
                </pic:pic>
              </a:graphicData>
            </a:graphic>
          </wp:inline>
        </w:drawing>
      </w:r>
    </w:p>
    <w:p w14:paraId="272A4FD7" w14:textId="77777777" w:rsidR="00467135" w:rsidRPr="00467135" w:rsidRDefault="00467135">
      <w:pPr>
        <w:pStyle w:val="Rubrik5"/>
        <w:rPr>
          <w:sz w:val="18"/>
          <w:szCs w:val="18"/>
        </w:rPr>
      </w:pPr>
    </w:p>
    <w:p w14:paraId="64523032" w14:textId="77777777" w:rsidR="00742CAF" w:rsidRDefault="00016B4C" w:rsidP="00401B69">
      <w:pPr>
        <w:ind w:left="118"/>
        <w:rPr>
          <w:b/>
          <w:spacing w:val="-2"/>
          <w:sz w:val="24"/>
        </w:rPr>
      </w:pPr>
      <w:r w:rsidRPr="00467135">
        <w:rPr>
          <w:b/>
          <w:sz w:val="24"/>
        </w:rPr>
        <w:t>Note</w:t>
      </w:r>
      <w:r w:rsidRPr="00467135">
        <w:rPr>
          <w:b/>
          <w:spacing w:val="-2"/>
          <w:sz w:val="24"/>
        </w:rPr>
        <w:t xml:space="preserve"> </w:t>
      </w:r>
      <w:r w:rsidRPr="00467135">
        <w:rPr>
          <w:b/>
          <w:sz w:val="24"/>
        </w:rPr>
        <w:t>1</w:t>
      </w:r>
      <w:r w:rsidR="008F07A8" w:rsidRPr="00467135">
        <w:rPr>
          <w:b/>
          <w:sz w:val="24"/>
        </w:rPr>
        <w:t>8</w:t>
      </w:r>
      <w:r w:rsidRPr="00467135">
        <w:rPr>
          <w:b/>
          <w:spacing w:val="-2"/>
          <w:sz w:val="24"/>
        </w:rPr>
        <w:t xml:space="preserve"> </w:t>
      </w:r>
      <w:r w:rsidRPr="00467135">
        <w:rPr>
          <w:b/>
          <w:sz w:val="24"/>
        </w:rPr>
        <w:t>Pledged</w:t>
      </w:r>
      <w:r w:rsidRPr="00467135">
        <w:rPr>
          <w:b/>
          <w:spacing w:val="-5"/>
          <w:sz w:val="24"/>
        </w:rPr>
        <w:t xml:space="preserve"> </w:t>
      </w:r>
      <w:r w:rsidRPr="00467135">
        <w:rPr>
          <w:b/>
          <w:sz w:val="24"/>
        </w:rPr>
        <w:t>assets</w:t>
      </w:r>
      <w:r w:rsidRPr="00467135">
        <w:rPr>
          <w:b/>
          <w:spacing w:val="-3"/>
          <w:sz w:val="24"/>
        </w:rPr>
        <w:t xml:space="preserve"> </w:t>
      </w:r>
      <w:r w:rsidRPr="00467135">
        <w:rPr>
          <w:b/>
          <w:sz w:val="24"/>
        </w:rPr>
        <w:t>and</w:t>
      </w:r>
      <w:r w:rsidRPr="00467135">
        <w:rPr>
          <w:b/>
          <w:spacing w:val="-3"/>
          <w:sz w:val="24"/>
        </w:rPr>
        <w:t xml:space="preserve"> </w:t>
      </w:r>
      <w:r w:rsidRPr="00467135">
        <w:rPr>
          <w:b/>
          <w:sz w:val="24"/>
        </w:rPr>
        <w:t>contingent</w:t>
      </w:r>
      <w:r w:rsidRPr="00467135">
        <w:rPr>
          <w:b/>
          <w:spacing w:val="-3"/>
          <w:sz w:val="24"/>
        </w:rPr>
        <w:t xml:space="preserve"> </w:t>
      </w:r>
      <w:r w:rsidRPr="00467135">
        <w:rPr>
          <w:b/>
          <w:spacing w:val="-2"/>
          <w:sz w:val="24"/>
        </w:rPr>
        <w:t>liabilities</w:t>
      </w:r>
    </w:p>
    <w:p w14:paraId="3A9507B9" w14:textId="77777777" w:rsidR="00742CAF" w:rsidRPr="00742CAF" w:rsidRDefault="00742CAF" w:rsidP="00742CAF">
      <w:pPr>
        <w:pStyle w:val="Rubrik5"/>
        <w:rPr>
          <w:sz w:val="18"/>
          <w:szCs w:val="18"/>
        </w:rPr>
      </w:pPr>
    </w:p>
    <w:p w14:paraId="3C6508D4" w14:textId="6B5008F9" w:rsidR="00987DAC" w:rsidRPr="00E53E51" w:rsidRDefault="00A27AD4" w:rsidP="00401B69">
      <w:pPr>
        <w:ind w:left="118"/>
      </w:pPr>
      <w:r w:rsidRPr="00A27AD4">
        <w:rPr>
          <w:noProof/>
        </w:rPr>
        <w:drawing>
          <wp:inline distT="0" distB="0" distL="0" distR="0" wp14:anchorId="20E51C1F" wp14:editId="2AF8EC64">
            <wp:extent cx="5648325" cy="892119"/>
            <wp:effectExtent l="0" t="0" r="0" b="3810"/>
            <wp:docPr id="567683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65177" cy="894781"/>
                    </a:xfrm>
                    <a:prstGeom prst="rect">
                      <a:avLst/>
                    </a:prstGeom>
                    <a:noFill/>
                    <a:ln>
                      <a:noFill/>
                    </a:ln>
                  </pic:spPr>
                </pic:pic>
              </a:graphicData>
            </a:graphic>
          </wp:inline>
        </w:drawing>
      </w:r>
    </w:p>
    <w:p w14:paraId="30C507ED" w14:textId="77777777" w:rsidR="00A27AD4" w:rsidRDefault="00A27AD4" w:rsidP="00742CAF">
      <w:pPr>
        <w:pStyle w:val="Rubrik5"/>
        <w:rPr>
          <w:b w:val="0"/>
          <w:bCs w:val="0"/>
          <w:sz w:val="18"/>
          <w:szCs w:val="18"/>
          <w:lang w:val="sv-SE"/>
        </w:rPr>
      </w:pPr>
    </w:p>
    <w:p w14:paraId="3C6508D8" w14:textId="0E035448" w:rsidR="00987DAC" w:rsidRPr="00742CAF" w:rsidRDefault="00623370" w:rsidP="00742CAF">
      <w:pPr>
        <w:pStyle w:val="Rubrik5"/>
        <w:rPr>
          <w:b w:val="0"/>
          <w:bCs w:val="0"/>
          <w:lang w:val="sv-SE"/>
        </w:rPr>
      </w:pPr>
      <w:r w:rsidRPr="00742CAF">
        <w:rPr>
          <w:b w:val="0"/>
          <w:bCs w:val="0"/>
          <w:sz w:val="18"/>
          <w:szCs w:val="18"/>
          <w:lang w:val="sv-SE"/>
        </w:rPr>
        <w:t>A</w:t>
      </w:r>
      <w:r w:rsidR="0047283A" w:rsidRPr="00742CAF">
        <w:rPr>
          <w:b w:val="0"/>
          <w:bCs w:val="0"/>
          <w:sz w:val="18"/>
          <w:szCs w:val="18"/>
          <w:lang w:val="sv-SE"/>
        </w:rPr>
        <w:t xml:space="preserve"> parent company guarantee is provided by the parent company for the majority of the subsidiaries' leases for leased premises. Guarantee commitments in this regard are in most cases limited to one year's rent, but a number of leases</w:t>
      </w:r>
      <w:r w:rsidR="0047283A" w:rsidRPr="00742CAF">
        <w:rPr>
          <w:b w:val="0"/>
          <w:bCs w:val="0"/>
          <w:sz w:val="18"/>
          <w:lang w:val="sv-SE"/>
        </w:rPr>
        <w:t xml:space="preserve"> are guaranteed "as if for own liability" and the guarantee then covers all rental payments during the entire lease period.</w:t>
      </w:r>
    </w:p>
    <w:p w14:paraId="74813B6D" w14:textId="77777777" w:rsidR="00FF279A" w:rsidRPr="00FF279A" w:rsidRDefault="00FF279A" w:rsidP="00FF279A">
      <w:pPr>
        <w:pStyle w:val="Brdtext"/>
        <w:spacing w:before="107" w:line="264" w:lineRule="auto"/>
        <w:ind w:left="118" w:right="463"/>
      </w:pPr>
    </w:p>
    <w:p w14:paraId="3C6508D9" w14:textId="735C7AEE" w:rsidR="00987DAC" w:rsidRPr="0070180A" w:rsidRDefault="00016B4C">
      <w:pPr>
        <w:pStyle w:val="Rubrik5"/>
      </w:pPr>
      <w:r w:rsidRPr="0070180A">
        <w:t>Note</w:t>
      </w:r>
      <w:r w:rsidRPr="0070180A">
        <w:rPr>
          <w:spacing w:val="-3"/>
        </w:rPr>
        <w:t xml:space="preserve"> </w:t>
      </w:r>
      <w:r w:rsidRPr="0070180A">
        <w:t>1</w:t>
      </w:r>
      <w:r w:rsidR="008F07A8">
        <w:t>9</w:t>
      </w:r>
      <w:r w:rsidRPr="0070180A">
        <w:rPr>
          <w:spacing w:val="-5"/>
        </w:rPr>
        <w:t xml:space="preserve"> </w:t>
      </w:r>
      <w:r w:rsidRPr="0070180A">
        <w:t>Transactions</w:t>
      </w:r>
      <w:r w:rsidRPr="0070180A">
        <w:rPr>
          <w:spacing w:val="-7"/>
        </w:rPr>
        <w:t xml:space="preserve"> </w:t>
      </w:r>
      <w:r w:rsidRPr="0070180A">
        <w:t>with</w:t>
      </w:r>
      <w:r w:rsidRPr="0070180A">
        <w:rPr>
          <w:spacing w:val="-3"/>
        </w:rPr>
        <w:t xml:space="preserve"> </w:t>
      </w:r>
      <w:r w:rsidR="0041612A" w:rsidRPr="0070180A">
        <w:rPr>
          <w:spacing w:val="-2"/>
        </w:rPr>
        <w:t>related parties</w:t>
      </w:r>
    </w:p>
    <w:p w14:paraId="3C6508DA" w14:textId="05B9FE47" w:rsidR="00987DAC" w:rsidRDefault="00016B4C">
      <w:pPr>
        <w:pStyle w:val="Brdtext"/>
        <w:spacing w:before="107" w:line="264" w:lineRule="auto"/>
        <w:ind w:left="118" w:right="463"/>
      </w:pPr>
      <w:r w:rsidRPr="0070180A">
        <w:t>Transactions</w:t>
      </w:r>
      <w:r w:rsidRPr="0070180A">
        <w:rPr>
          <w:spacing w:val="-2"/>
        </w:rPr>
        <w:t xml:space="preserve"> </w:t>
      </w:r>
      <w:r w:rsidRPr="0070180A">
        <w:t>between</w:t>
      </w:r>
      <w:r w:rsidRPr="0070180A">
        <w:rPr>
          <w:spacing w:val="-5"/>
        </w:rPr>
        <w:t xml:space="preserve"> </w:t>
      </w:r>
      <w:r w:rsidRPr="0070180A">
        <w:t>the</w:t>
      </w:r>
      <w:r w:rsidRPr="0070180A">
        <w:rPr>
          <w:spacing w:val="-1"/>
        </w:rPr>
        <w:t xml:space="preserve"> </w:t>
      </w:r>
      <w:r w:rsidRPr="0070180A">
        <w:t>Parent</w:t>
      </w:r>
      <w:r w:rsidRPr="0070180A">
        <w:rPr>
          <w:spacing w:val="-3"/>
        </w:rPr>
        <w:t xml:space="preserve"> </w:t>
      </w:r>
      <w:r w:rsidRPr="0070180A">
        <w:t>Company</w:t>
      </w:r>
      <w:r w:rsidRPr="0070180A">
        <w:rPr>
          <w:spacing w:val="-2"/>
        </w:rPr>
        <w:t xml:space="preserve"> </w:t>
      </w:r>
      <w:r w:rsidRPr="0070180A">
        <w:t>and</w:t>
      </w:r>
      <w:r w:rsidRPr="0070180A">
        <w:rPr>
          <w:spacing w:val="-3"/>
        </w:rPr>
        <w:t xml:space="preserve"> </w:t>
      </w:r>
      <w:r w:rsidRPr="0070180A">
        <w:t>its</w:t>
      </w:r>
      <w:r w:rsidRPr="0070180A">
        <w:rPr>
          <w:spacing w:val="-4"/>
        </w:rPr>
        <w:t xml:space="preserve"> </w:t>
      </w:r>
      <w:r w:rsidRPr="0070180A">
        <w:t>subsidiaries</w:t>
      </w:r>
      <w:r w:rsidRPr="0070180A">
        <w:rPr>
          <w:spacing w:val="-4"/>
        </w:rPr>
        <w:t xml:space="preserve"> </w:t>
      </w:r>
      <w:r w:rsidRPr="0070180A">
        <w:t>and</w:t>
      </w:r>
      <w:r w:rsidRPr="0070180A">
        <w:rPr>
          <w:spacing w:val="-5"/>
        </w:rPr>
        <w:t xml:space="preserve"> </w:t>
      </w:r>
      <w:r w:rsidRPr="0070180A">
        <w:t>between</w:t>
      </w:r>
      <w:r w:rsidRPr="0070180A">
        <w:rPr>
          <w:spacing w:val="-3"/>
        </w:rPr>
        <w:t xml:space="preserve"> </w:t>
      </w:r>
      <w:r w:rsidRPr="0070180A">
        <w:t>the</w:t>
      </w:r>
      <w:r w:rsidRPr="0070180A">
        <w:rPr>
          <w:spacing w:val="-3"/>
        </w:rPr>
        <w:t xml:space="preserve"> </w:t>
      </w:r>
      <w:r w:rsidRPr="0070180A">
        <w:t>Parent</w:t>
      </w:r>
      <w:r w:rsidRPr="0070180A">
        <w:rPr>
          <w:spacing w:val="-3"/>
        </w:rPr>
        <w:t xml:space="preserve"> </w:t>
      </w:r>
      <w:r w:rsidRPr="0070180A">
        <w:t>Company</w:t>
      </w:r>
      <w:r w:rsidRPr="0070180A">
        <w:rPr>
          <w:spacing w:val="-4"/>
        </w:rPr>
        <w:t xml:space="preserve"> </w:t>
      </w:r>
      <w:r w:rsidRPr="0070180A">
        <w:t>and</w:t>
      </w:r>
      <w:r w:rsidRPr="0070180A">
        <w:rPr>
          <w:spacing w:val="-5"/>
        </w:rPr>
        <w:t xml:space="preserve"> </w:t>
      </w:r>
      <w:r w:rsidRPr="0070180A">
        <w:t xml:space="preserve">other </w:t>
      </w:r>
      <w:r w:rsidR="0041612A" w:rsidRPr="0070180A">
        <w:t>related parties</w:t>
      </w:r>
      <w:r w:rsidRPr="0070180A">
        <w:t xml:space="preserve"> are presented below.</w:t>
      </w:r>
    </w:p>
    <w:p w14:paraId="60060CC9" w14:textId="560F6F56" w:rsidR="001E228D" w:rsidRPr="0070180A" w:rsidRDefault="006E0037">
      <w:pPr>
        <w:pStyle w:val="Brdtext"/>
        <w:spacing w:before="107" w:line="264" w:lineRule="auto"/>
        <w:ind w:left="118" w:right="463"/>
      </w:pPr>
      <w:r w:rsidRPr="006E0037">
        <w:rPr>
          <w:noProof/>
        </w:rPr>
        <w:drawing>
          <wp:inline distT="0" distB="0" distL="0" distR="0" wp14:anchorId="5E84EE01" wp14:editId="34FA4BD4">
            <wp:extent cx="5467350" cy="1940306"/>
            <wp:effectExtent l="0" t="0" r="0" b="3175"/>
            <wp:docPr id="1052555572" name="Bildobjekt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71876" cy="1941912"/>
                    </a:xfrm>
                    <a:prstGeom prst="rect">
                      <a:avLst/>
                    </a:prstGeom>
                    <a:noFill/>
                    <a:ln>
                      <a:noFill/>
                    </a:ln>
                  </pic:spPr>
                </pic:pic>
              </a:graphicData>
            </a:graphic>
          </wp:inline>
        </w:drawing>
      </w:r>
    </w:p>
    <w:p w14:paraId="3C65090B" w14:textId="77777777" w:rsidR="00987DAC" w:rsidRPr="00B565C8" w:rsidRDefault="00987DAC">
      <w:pPr>
        <w:pStyle w:val="Brdtext"/>
        <w:spacing w:before="26"/>
      </w:pPr>
    </w:p>
    <w:p w14:paraId="3C65090E" w14:textId="3235F116" w:rsidR="00987DAC" w:rsidRPr="00B565C8" w:rsidRDefault="00954605">
      <w:pPr>
        <w:pStyle w:val="Brdtext"/>
        <w:ind w:left="118"/>
      </w:pPr>
      <w:r w:rsidRPr="00954605">
        <w:t>See notes 9 and 10 for a description and information on holdings in subsidiaries, ownership interests, etc. Information on remuneration to senior executives is presented in note 10 for the Group.</w:t>
      </w:r>
      <w:r w:rsidR="00016B4C" w:rsidRPr="00B565C8">
        <w:rPr>
          <w:spacing w:val="-5"/>
        </w:rPr>
        <w:t>.</w:t>
      </w:r>
    </w:p>
    <w:p w14:paraId="3C650913" w14:textId="77777777" w:rsidR="00987DAC" w:rsidRPr="00CB10EF" w:rsidRDefault="00987DAC">
      <w:pPr>
        <w:pStyle w:val="Brdtext"/>
        <w:spacing w:before="103"/>
      </w:pPr>
    </w:p>
    <w:p w14:paraId="3C650914" w14:textId="159654F6" w:rsidR="00987DAC" w:rsidRPr="00CB10EF" w:rsidRDefault="00016B4C">
      <w:pPr>
        <w:pStyle w:val="Rubrik5"/>
      </w:pPr>
      <w:r w:rsidRPr="00CB10EF">
        <w:t>Note</w:t>
      </w:r>
      <w:r w:rsidRPr="00CB10EF">
        <w:rPr>
          <w:spacing w:val="-3"/>
        </w:rPr>
        <w:t xml:space="preserve"> </w:t>
      </w:r>
      <w:r w:rsidR="008F07A8">
        <w:t>20</w:t>
      </w:r>
      <w:r w:rsidRPr="00CB10EF">
        <w:rPr>
          <w:spacing w:val="-2"/>
        </w:rPr>
        <w:t xml:space="preserve"> </w:t>
      </w:r>
      <w:r w:rsidRPr="00CB10EF">
        <w:t>Events</w:t>
      </w:r>
      <w:r w:rsidRPr="00CB10EF">
        <w:rPr>
          <w:spacing w:val="-5"/>
        </w:rPr>
        <w:t xml:space="preserve"> </w:t>
      </w:r>
      <w:r w:rsidRPr="00CB10EF">
        <w:t>after</w:t>
      </w:r>
      <w:r w:rsidRPr="00CB10EF">
        <w:rPr>
          <w:spacing w:val="-4"/>
        </w:rPr>
        <w:t xml:space="preserve"> </w:t>
      </w:r>
      <w:r w:rsidRPr="00CB10EF">
        <w:t>the</w:t>
      </w:r>
      <w:r w:rsidRPr="00CB10EF">
        <w:rPr>
          <w:spacing w:val="-3"/>
        </w:rPr>
        <w:t xml:space="preserve"> </w:t>
      </w:r>
      <w:r w:rsidRPr="00CB10EF">
        <w:t>balance-sheet</w:t>
      </w:r>
      <w:r w:rsidRPr="00CB10EF">
        <w:rPr>
          <w:spacing w:val="-3"/>
        </w:rPr>
        <w:t xml:space="preserve"> </w:t>
      </w:r>
      <w:r w:rsidRPr="00CB10EF">
        <w:rPr>
          <w:spacing w:val="-4"/>
        </w:rPr>
        <w:t>date</w:t>
      </w:r>
    </w:p>
    <w:p w14:paraId="3C650915" w14:textId="316A430B" w:rsidR="00987DAC" w:rsidRPr="00CB10EF" w:rsidRDefault="00016B4C">
      <w:pPr>
        <w:pStyle w:val="Brdtext"/>
        <w:spacing w:before="107"/>
        <w:ind w:left="118"/>
      </w:pPr>
      <w:r w:rsidRPr="00CB10EF">
        <w:t>See</w:t>
      </w:r>
      <w:r w:rsidRPr="00CB10EF">
        <w:rPr>
          <w:spacing w:val="-3"/>
        </w:rPr>
        <w:t xml:space="preserve"> </w:t>
      </w:r>
      <w:r w:rsidRPr="00CB10EF">
        <w:t>Group</w:t>
      </w:r>
      <w:r w:rsidRPr="00CB10EF">
        <w:rPr>
          <w:spacing w:val="-1"/>
        </w:rPr>
        <w:t xml:space="preserve"> </w:t>
      </w:r>
      <w:r w:rsidR="00742CAF">
        <w:t>n</w:t>
      </w:r>
      <w:r w:rsidRPr="00CB10EF">
        <w:t>ote</w:t>
      </w:r>
      <w:r w:rsidRPr="00CB10EF">
        <w:rPr>
          <w:spacing w:val="-1"/>
        </w:rPr>
        <w:t xml:space="preserve"> </w:t>
      </w:r>
      <w:r w:rsidRPr="00CB10EF">
        <w:t>3</w:t>
      </w:r>
      <w:r w:rsidR="00CB10EF" w:rsidRPr="00CB10EF">
        <w:t>3</w:t>
      </w:r>
      <w:r w:rsidRPr="00CB10EF">
        <w:rPr>
          <w:spacing w:val="-2"/>
        </w:rPr>
        <w:t xml:space="preserve"> </w:t>
      </w:r>
      <w:r w:rsidRPr="00CB10EF">
        <w:t>for</w:t>
      </w:r>
      <w:r w:rsidRPr="00CB10EF">
        <w:rPr>
          <w:spacing w:val="-4"/>
        </w:rPr>
        <w:t xml:space="preserve"> </w:t>
      </w:r>
      <w:r w:rsidRPr="00CB10EF">
        <w:t>a</w:t>
      </w:r>
      <w:r w:rsidRPr="00CB10EF">
        <w:rPr>
          <w:spacing w:val="-2"/>
        </w:rPr>
        <w:t xml:space="preserve"> </w:t>
      </w:r>
      <w:r w:rsidRPr="00CB10EF">
        <w:t>description</w:t>
      </w:r>
      <w:r w:rsidRPr="00CB10EF">
        <w:rPr>
          <w:spacing w:val="-3"/>
        </w:rPr>
        <w:t xml:space="preserve"> </w:t>
      </w:r>
      <w:r w:rsidRPr="00CB10EF">
        <w:t>of</w:t>
      </w:r>
      <w:r w:rsidRPr="00CB10EF">
        <w:rPr>
          <w:spacing w:val="-4"/>
        </w:rPr>
        <w:t xml:space="preserve"> </w:t>
      </w:r>
      <w:r w:rsidRPr="00CB10EF">
        <w:t>events</w:t>
      </w:r>
      <w:r w:rsidRPr="00CB10EF">
        <w:rPr>
          <w:spacing w:val="-3"/>
        </w:rPr>
        <w:t xml:space="preserve"> </w:t>
      </w:r>
      <w:r w:rsidRPr="00CB10EF">
        <w:t>after</w:t>
      </w:r>
      <w:r w:rsidRPr="00CB10EF">
        <w:rPr>
          <w:spacing w:val="-2"/>
        </w:rPr>
        <w:t xml:space="preserve"> </w:t>
      </w:r>
      <w:r w:rsidRPr="00CB10EF">
        <w:t>the</w:t>
      </w:r>
      <w:r w:rsidRPr="00CB10EF">
        <w:rPr>
          <w:spacing w:val="-5"/>
        </w:rPr>
        <w:t xml:space="preserve"> </w:t>
      </w:r>
      <w:r w:rsidRPr="00CB10EF">
        <w:t>balance-sheet</w:t>
      </w:r>
      <w:r w:rsidRPr="00CB10EF">
        <w:rPr>
          <w:spacing w:val="-4"/>
        </w:rPr>
        <w:t xml:space="preserve"> </w:t>
      </w:r>
      <w:r w:rsidRPr="00CB10EF">
        <w:rPr>
          <w:spacing w:val="-2"/>
        </w:rPr>
        <w:t>date.</w:t>
      </w:r>
    </w:p>
    <w:p w14:paraId="3C650916" w14:textId="77777777" w:rsidR="00987DAC" w:rsidRPr="00CB10EF" w:rsidRDefault="00987DAC">
      <w:pPr>
        <w:sectPr w:rsidR="00987DAC" w:rsidRPr="00CB10EF">
          <w:footerReference w:type="default" r:id="rId88"/>
          <w:pgSz w:w="11910" w:h="16840"/>
          <w:pgMar w:top="1420" w:right="980" w:bottom="900" w:left="1300" w:header="512" w:footer="719" w:gutter="0"/>
          <w:cols w:space="720"/>
        </w:sectPr>
      </w:pPr>
    </w:p>
    <w:p w14:paraId="3C650919" w14:textId="58C1FA13" w:rsidR="00987DAC" w:rsidRPr="00E973E7" w:rsidRDefault="00016B4C">
      <w:pPr>
        <w:pStyle w:val="Rubrik5"/>
      </w:pPr>
      <w:r w:rsidRPr="00E973E7">
        <w:lastRenderedPageBreak/>
        <w:t>Note</w:t>
      </w:r>
      <w:r w:rsidRPr="00E973E7">
        <w:rPr>
          <w:spacing w:val="-3"/>
        </w:rPr>
        <w:t xml:space="preserve"> </w:t>
      </w:r>
      <w:r w:rsidR="00BE47AF" w:rsidRPr="00E973E7">
        <w:t>21</w:t>
      </w:r>
      <w:r w:rsidRPr="00E973E7">
        <w:rPr>
          <w:spacing w:val="-3"/>
        </w:rPr>
        <w:t xml:space="preserve"> </w:t>
      </w:r>
      <w:r w:rsidRPr="00E973E7">
        <w:t>Disposition</w:t>
      </w:r>
      <w:r w:rsidRPr="00E973E7">
        <w:rPr>
          <w:spacing w:val="-4"/>
        </w:rPr>
        <w:t xml:space="preserve"> </w:t>
      </w:r>
      <w:r w:rsidRPr="00E973E7">
        <w:t>of</w:t>
      </w:r>
      <w:r w:rsidRPr="00E973E7">
        <w:rPr>
          <w:spacing w:val="-4"/>
        </w:rPr>
        <w:t xml:space="preserve"> </w:t>
      </w:r>
      <w:r w:rsidRPr="00E973E7">
        <w:t>the</w:t>
      </w:r>
      <w:r w:rsidRPr="00E973E7">
        <w:rPr>
          <w:spacing w:val="-4"/>
        </w:rPr>
        <w:t xml:space="preserve"> </w:t>
      </w:r>
      <w:r w:rsidRPr="00E973E7">
        <w:t>company’s</w:t>
      </w:r>
      <w:r w:rsidRPr="00E973E7">
        <w:rPr>
          <w:spacing w:val="-3"/>
        </w:rPr>
        <w:t xml:space="preserve"> </w:t>
      </w:r>
      <w:r w:rsidRPr="00E973E7">
        <w:rPr>
          <w:spacing w:val="-2"/>
        </w:rPr>
        <w:t>profit</w:t>
      </w:r>
    </w:p>
    <w:p w14:paraId="3C65091E" w14:textId="6AA7A422" w:rsidR="00987DAC" w:rsidRPr="00E973E7" w:rsidRDefault="00D80B99" w:rsidP="00E973E7">
      <w:pPr>
        <w:pStyle w:val="Brdtext"/>
        <w:spacing w:before="107"/>
        <w:ind w:left="118"/>
        <w:rPr>
          <w:b/>
        </w:rPr>
      </w:pPr>
      <w:r>
        <w:rPr>
          <w:b/>
          <w:noProof/>
        </w:rPr>
        <w:drawing>
          <wp:inline distT="0" distB="0" distL="0" distR="0" wp14:anchorId="56226FDC" wp14:editId="66E7EE23">
            <wp:extent cx="5871210" cy="2316480"/>
            <wp:effectExtent l="0" t="0" r="0" b="7620"/>
            <wp:docPr id="1286674514"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71210" cy="2316480"/>
                    </a:xfrm>
                    <a:prstGeom prst="rect">
                      <a:avLst/>
                    </a:prstGeom>
                    <a:noFill/>
                  </pic:spPr>
                </pic:pic>
              </a:graphicData>
            </a:graphic>
          </wp:inline>
        </w:drawing>
      </w:r>
    </w:p>
    <w:p w14:paraId="3C650920" w14:textId="77777777" w:rsidR="00987DAC" w:rsidRPr="00E973E7" w:rsidRDefault="00987DAC" w:rsidP="002156C7">
      <w:pPr>
        <w:pStyle w:val="Brdtext"/>
        <w:spacing w:line="264" w:lineRule="auto"/>
        <w:ind w:left="118" w:right="463"/>
      </w:pPr>
    </w:p>
    <w:p w14:paraId="7CDC45B9" w14:textId="77777777" w:rsidR="003633FB" w:rsidRDefault="003633FB" w:rsidP="002156C7">
      <w:pPr>
        <w:pStyle w:val="Brdtext"/>
        <w:spacing w:line="264" w:lineRule="auto"/>
        <w:ind w:left="118" w:right="463"/>
      </w:pPr>
    </w:p>
    <w:p w14:paraId="1B1AB7C4" w14:textId="77777777" w:rsidR="007001F5" w:rsidRDefault="007001F5" w:rsidP="007001F5">
      <w:pPr>
        <w:pStyle w:val="Brdtext"/>
        <w:spacing w:line="264" w:lineRule="auto"/>
        <w:ind w:right="463"/>
        <w:sectPr w:rsidR="007001F5" w:rsidSect="0025079E">
          <w:pgSz w:w="11900" w:h="16840"/>
          <w:pgMar w:top="1340" w:right="740" w:bottom="640" w:left="1300" w:header="510" w:footer="720" w:gutter="0"/>
          <w:cols w:space="185"/>
          <w:docGrid w:linePitch="299"/>
        </w:sectPr>
      </w:pPr>
    </w:p>
    <w:p w14:paraId="273B3027" w14:textId="77777777" w:rsidR="007001F5" w:rsidRDefault="007001F5" w:rsidP="002156C7">
      <w:pPr>
        <w:pStyle w:val="Brdtext"/>
        <w:spacing w:line="264" w:lineRule="auto"/>
        <w:ind w:left="118" w:right="463"/>
      </w:pPr>
    </w:p>
    <w:p w14:paraId="24B30A68" w14:textId="77777777" w:rsidR="007001F5" w:rsidRDefault="007001F5" w:rsidP="007001F5">
      <w:pPr>
        <w:pStyle w:val="Rubrik5"/>
      </w:pPr>
      <w:r>
        <w:t>Approval of the financial statements</w:t>
      </w:r>
    </w:p>
    <w:p w14:paraId="03A30124" w14:textId="77777777" w:rsidR="007001F5" w:rsidRDefault="007001F5" w:rsidP="007001F5">
      <w:pPr>
        <w:pStyle w:val="Rubrik5"/>
      </w:pPr>
    </w:p>
    <w:p w14:paraId="286F1349" w14:textId="77777777" w:rsidR="00883051" w:rsidRDefault="00883051" w:rsidP="007001F5">
      <w:pPr>
        <w:pStyle w:val="Rubrik5"/>
      </w:pPr>
    </w:p>
    <w:p w14:paraId="084CAE67" w14:textId="44EEEC09" w:rsidR="00883051" w:rsidRDefault="00883051" w:rsidP="007001F5">
      <w:pPr>
        <w:pStyle w:val="Rubrik5"/>
        <w:rPr>
          <w:b w:val="0"/>
          <w:bCs w:val="0"/>
          <w:sz w:val="18"/>
          <w:szCs w:val="18"/>
        </w:rPr>
      </w:pPr>
      <w:r w:rsidRPr="00883051">
        <w:rPr>
          <w:b w:val="0"/>
          <w:bCs w:val="0"/>
          <w:sz w:val="18"/>
          <w:szCs w:val="18"/>
        </w:rPr>
        <w:t>The annual report and consolidated financial statements have been approved for issue by the Board of Directors</w:t>
      </w:r>
      <w:r w:rsidR="006B64E7">
        <w:rPr>
          <w:b w:val="0"/>
          <w:bCs w:val="0"/>
          <w:sz w:val="18"/>
          <w:szCs w:val="18"/>
        </w:rPr>
        <w:br/>
      </w:r>
      <w:r w:rsidRPr="00883051">
        <w:rPr>
          <w:b w:val="0"/>
          <w:bCs w:val="0"/>
          <w:sz w:val="18"/>
          <w:szCs w:val="18"/>
        </w:rPr>
        <w:t>on 2025-04-</w:t>
      </w:r>
      <w:r>
        <w:rPr>
          <w:b w:val="0"/>
          <w:bCs w:val="0"/>
          <w:sz w:val="18"/>
          <w:szCs w:val="18"/>
        </w:rPr>
        <w:t>16.</w:t>
      </w:r>
    </w:p>
    <w:p w14:paraId="1C4CDDEF" w14:textId="77777777" w:rsidR="00883051" w:rsidRPr="00883051" w:rsidRDefault="00883051" w:rsidP="007001F5">
      <w:pPr>
        <w:pStyle w:val="Rubrik5"/>
        <w:rPr>
          <w:b w:val="0"/>
          <w:bCs w:val="0"/>
          <w:sz w:val="18"/>
          <w:szCs w:val="18"/>
        </w:rPr>
      </w:pPr>
    </w:p>
    <w:p w14:paraId="78BE367F" w14:textId="77777777" w:rsidR="003633FB" w:rsidRDefault="007837D6" w:rsidP="003633FB">
      <w:pPr>
        <w:pStyle w:val="Brdtext"/>
        <w:spacing w:line="264" w:lineRule="auto"/>
        <w:ind w:left="118" w:right="463"/>
      </w:pPr>
      <w:r w:rsidRPr="007837D6">
        <w:t>The Board of Directors and the CEO hereby certify that the annual report has been prepared in accordance with the Annual Accounts Act and RFR 2 Accounting for Legal Entities and gives a true and fair view of the company's position and results and that the administration report gives a true and fair view of the development of the company's operations, position and results and describes significant risks and uncertainties facing the company. The Board of Directors and the CEO hereby certify that the consolidated financial statements have been prepared in accordance with International Financial Reporting Standards (IFRS), as adopted by the EU, and give a true and fair view of the Group's position and results and that the Board of Directors' report for the Group gives a true and fair view of the development of the Group's operations, position and results and describes significant risks and uncertainties faced by the companies in the Group</w:t>
      </w:r>
    </w:p>
    <w:p w14:paraId="3B2634BC" w14:textId="77777777" w:rsidR="003633FB" w:rsidRDefault="003633FB" w:rsidP="003633FB">
      <w:pPr>
        <w:pStyle w:val="Brdtext"/>
        <w:spacing w:line="264" w:lineRule="auto"/>
        <w:ind w:left="118" w:right="463"/>
      </w:pPr>
    </w:p>
    <w:p w14:paraId="3C650928" w14:textId="54BF30D1" w:rsidR="00987DAC" w:rsidRPr="007837D6" w:rsidRDefault="00016B4C">
      <w:pPr>
        <w:pStyle w:val="Brdtext"/>
        <w:ind w:left="118"/>
      </w:pPr>
      <w:r w:rsidRPr="003633FB">
        <w:t>Stockholm</w:t>
      </w:r>
      <w:r w:rsidRPr="003633FB">
        <w:rPr>
          <w:spacing w:val="-5"/>
        </w:rPr>
        <w:t xml:space="preserve"> </w:t>
      </w:r>
      <w:r w:rsidR="006741B5">
        <w:t>as per the date of our electronical signature</w:t>
      </w:r>
    </w:p>
    <w:p w14:paraId="3C650929" w14:textId="77777777" w:rsidR="00987DAC" w:rsidRPr="007837D6" w:rsidRDefault="00987DAC">
      <w:pPr>
        <w:pStyle w:val="Brdtext"/>
      </w:pPr>
    </w:p>
    <w:p w14:paraId="3C65092A" w14:textId="77777777" w:rsidR="00987DAC" w:rsidRPr="007837D6" w:rsidRDefault="00987DAC">
      <w:pPr>
        <w:pStyle w:val="Brdtext"/>
      </w:pPr>
    </w:p>
    <w:p w14:paraId="3C65092C" w14:textId="4BD58DDE" w:rsidR="00987DAC" w:rsidRPr="007837D6" w:rsidRDefault="007837D6">
      <w:pPr>
        <w:pStyle w:val="Brdtext"/>
        <w:tabs>
          <w:tab w:val="left" w:pos="5159"/>
        </w:tabs>
        <w:ind w:left="118"/>
      </w:pPr>
      <w:r>
        <w:t>Kenneth Bengtsson</w:t>
      </w:r>
      <w:r w:rsidR="00016B4C" w:rsidRPr="007837D6">
        <w:tab/>
      </w:r>
      <w:r>
        <w:t>Henrik Patek</w:t>
      </w:r>
    </w:p>
    <w:p w14:paraId="3C65092D" w14:textId="77777777" w:rsidR="00987DAC" w:rsidRPr="007837D6" w:rsidRDefault="00016B4C">
      <w:pPr>
        <w:pStyle w:val="Brdtext"/>
        <w:tabs>
          <w:tab w:val="left" w:pos="5159"/>
        </w:tabs>
        <w:spacing w:before="21"/>
        <w:ind w:left="118"/>
      </w:pPr>
      <w:r w:rsidRPr="007837D6">
        <w:t>Chairman</w:t>
      </w:r>
      <w:r w:rsidRPr="007837D6">
        <w:rPr>
          <w:spacing w:val="-6"/>
        </w:rPr>
        <w:t xml:space="preserve"> </w:t>
      </w:r>
      <w:r w:rsidRPr="007837D6">
        <w:t>of</w:t>
      </w:r>
      <w:r w:rsidRPr="007837D6">
        <w:rPr>
          <w:spacing w:val="-8"/>
        </w:rPr>
        <w:t xml:space="preserve"> </w:t>
      </w:r>
      <w:r w:rsidRPr="007837D6">
        <w:t>the</w:t>
      </w:r>
      <w:r w:rsidRPr="007837D6">
        <w:rPr>
          <w:spacing w:val="-8"/>
        </w:rPr>
        <w:t xml:space="preserve"> </w:t>
      </w:r>
      <w:r w:rsidRPr="007837D6">
        <w:rPr>
          <w:spacing w:val="-4"/>
        </w:rPr>
        <w:t>Board</w:t>
      </w:r>
      <w:r w:rsidRPr="007837D6">
        <w:tab/>
        <w:t>Board</w:t>
      </w:r>
      <w:r w:rsidRPr="007837D6">
        <w:rPr>
          <w:spacing w:val="-10"/>
        </w:rPr>
        <w:t xml:space="preserve"> </w:t>
      </w:r>
      <w:r w:rsidRPr="007837D6">
        <w:rPr>
          <w:spacing w:val="-2"/>
        </w:rPr>
        <w:t>Member</w:t>
      </w:r>
    </w:p>
    <w:p w14:paraId="3C65092E" w14:textId="77777777" w:rsidR="00987DAC" w:rsidRPr="007837D6" w:rsidRDefault="00987DAC">
      <w:pPr>
        <w:pStyle w:val="Brdtext"/>
      </w:pPr>
    </w:p>
    <w:p w14:paraId="0CC73C18" w14:textId="77777777" w:rsidR="008A7890" w:rsidRDefault="008A7890" w:rsidP="008A7890">
      <w:pPr>
        <w:pStyle w:val="Brdtext"/>
      </w:pPr>
    </w:p>
    <w:p w14:paraId="3C650930" w14:textId="2E22EC12" w:rsidR="00987DAC" w:rsidRPr="007837D6" w:rsidRDefault="007837D6">
      <w:pPr>
        <w:pStyle w:val="Brdtext"/>
        <w:tabs>
          <w:tab w:val="left" w:pos="5159"/>
        </w:tabs>
        <w:ind w:left="118"/>
      </w:pPr>
      <w:r>
        <w:t>Henrik Hermansson</w:t>
      </w:r>
      <w:r w:rsidR="00016B4C" w:rsidRPr="007837D6">
        <w:tab/>
      </w:r>
      <w:r>
        <w:t>Anders Karlberg</w:t>
      </w:r>
    </w:p>
    <w:p w14:paraId="3C650931" w14:textId="77777777" w:rsidR="00987DAC" w:rsidRPr="007837D6" w:rsidRDefault="00016B4C">
      <w:pPr>
        <w:pStyle w:val="Brdtext"/>
        <w:tabs>
          <w:tab w:val="left" w:pos="5159"/>
        </w:tabs>
        <w:spacing w:before="21"/>
        <w:ind w:left="118"/>
      </w:pPr>
      <w:r w:rsidRPr="007837D6">
        <w:t>Board</w:t>
      </w:r>
      <w:r w:rsidRPr="007837D6">
        <w:rPr>
          <w:spacing w:val="-6"/>
        </w:rPr>
        <w:t xml:space="preserve"> </w:t>
      </w:r>
      <w:r w:rsidRPr="007837D6">
        <w:rPr>
          <w:spacing w:val="-2"/>
        </w:rPr>
        <w:t>Member</w:t>
      </w:r>
      <w:r w:rsidRPr="007837D6">
        <w:tab/>
        <w:t>Board</w:t>
      </w:r>
      <w:r w:rsidRPr="007837D6">
        <w:rPr>
          <w:spacing w:val="-6"/>
        </w:rPr>
        <w:t xml:space="preserve"> </w:t>
      </w:r>
      <w:r w:rsidRPr="007837D6">
        <w:rPr>
          <w:spacing w:val="-2"/>
        </w:rPr>
        <w:t>Member</w:t>
      </w:r>
    </w:p>
    <w:p w14:paraId="3C650932" w14:textId="77777777" w:rsidR="00987DAC" w:rsidRPr="007837D6" w:rsidRDefault="00987DAC">
      <w:pPr>
        <w:pStyle w:val="Brdtext"/>
      </w:pPr>
    </w:p>
    <w:p w14:paraId="52BB7460" w14:textId="77777777" w:rsidR="008A7890" w:rsidRDefault="008A7890" w:rsidP="008A7890">
      <w:pPr>
        <w:pStyle w:val="Brdtext"/>
      </w:pPr>
    </w:p>
    <w:p w14:paraId="4E4FCBF8" w14:textId="77777777" w:rsidR="009A0A1D" w:rsidRDefault="00F37609" w:rsidP="009A0A1D">
      <w:pPr>
        <w:pStyle w:val="Brdtext"/>
        <w:tabs>
          <w:tab w:val="left" w:pos="5159"/>
        </w:tabs>
        <w:ind w:left="118"/>
      </w:pPr>
      <w:r>
        <w:t>Jan Amethie</w:t>
      </w:r>
      <w:r w:rsidR="0023337C">
        <w:t>r</w:t>
      </w:r>
      <w:r w:rsidR="0023337C">
        <w:tab/>
        <w:t>Ann Hellenius</w:t>
      </w:r>
    </w:p>
    <w:p w14:paraId="3C650935" w14:textId="794B06C6" w:rsidR="00987DAC" w:rsidRDefault="0023337C" w:rsidP="009A0A1D">
      <w:pPr>
        <w:pStyle w:val="Brdtext"/>
        <w:tabs>
          <w:tab w:val="left" w:pos="5159"/>
        </w:tabs>
        <w:ind w:left="118"/>
      </w:pPr>
      <w:r>
        <w:t>Board member</w:t>
      </w:r>
      <w:r>
        <w:tab/>
        <w:t>Board member</w:t>
      </w:r>
    </w:p>
    <w:p w14:paraId="14718A78" w14:textId="77777777" w:rsidR="00B4777A" w:rsidRDefault="00B4777A" w:rsidP="008A7890">
      <w:pPr>
        <w:pStyle w:val="Brdtext"/>
      </w:pPr>
    </w:p>
    <w:p w14:paraId="69A9CA74" w14:textId="77777777" w:rsidR="008A7890" w:rsidRDefault="008A7890" w:rsidP="008A7890">
      <w:pPr>
        <w:pStyle w:val="Brdtext"/>
      </w:pPr>
    </w:p>
    <w:p w14:paraId="064D8B6B" w14:textId="0914450D" w:rsidR="008A7890" w:rsidRDefault="008A7890" w:rsidP="009A0A1D">
      <w:pPr>
        <w:pStyle w:val="Brdtext"/>
        <w:tabs>
          <w:tab w:val="left" w:pos="5159"/>
        </w:tabs>
        <w:ind w:left="118"/>
      </w:pPr>
      <w:r>
        <w:t>Per Möller</w:t>
      </w:r>
      <w:r>
        <w:br/>
        <w:t>CEO and board member</w:t>
      </w:r>
    </w:p>
    <w:p w14:paraId="586D39DF" w14:textId="77777777" w:rsidR="008A7890" w:rsidRDefault="008A7890" w:rsidP="008A7890">
      <w:pPr>
        <w:pStyle w:val="Brdtext"/>
      </w:pPr>
    </w:p>
    <w:p w14:paraId="70191B4E" w14:textId="77777777" w:rsidR="008A7890" w:rsidRDefault="008A7890" w:rsidP="008A7890">
      <w:pPr>
        <w:pStyle w:val="Brdtext"/>
      </w:pPr>
    </w:p>
    <w:p w14:paraId="4DE76E00" w14:textId="1D040747" w:rsidR="008A7890" w:rsidRDefault="008A7890" w:rsidP="008A7890">
      <w:pPr>
        <w:pStyle w:val="Brdtext"/>
      </w:pPr>
      <w:r>
        <w:t xml:space="preserve">Our audit report was issued </w:t>
      </w:r>
      <w:r w:rsidR="00D8520D">
        <w:t>as per the date of our electronical signature</w:t>
      </w:r>
    </w:p>
    <w:p w14:paraId="63E741B4" w14:textId="77777777" w:rsidR="00D8520D" w:rsidRDefault="00D8520D" w:rsidP="008A7890">
      <w:pPr>
        <w:pStyle w:val="Brdtext"/>
      </w:pPr>
    </w:p>
    <w:p w14:paraId="3C650937" w14:textId="368E4EF3" w:rsidR="00987DAC" w:rsidRDefault="008A7890" w:rsidP="008A7890">
      <w:pPr>
        <w:pStyle w:val="Brdtext"/>
      </w:pPr>
      <w:r>
        <w:t>PriceWaterhouseCoopers AB</w:t>
      </w:r>
    </w:p>
    <w:p w14:paraId="62075216" w14:textId="77777777" w:rsidR="008A7890" w:rsidRDefault="008A7890" w:rsidP="008A7890">
      <w:pPr>
        <w:pStyle w:val="Brdtext"/>
      </w:pPr>
    </w:p>
    <w:p w14:paraId="67DF15DA" w14:textId="77777777" w:rsidR="008A7890" w:rsidRDefault="008A7890" w:rsidP="008A7890">
      <w:pPr>
        <w:pStyle w:val="Brdtext"/>
      </w:pPr>
    </w:p>
    <w:p w14:paraId="2BB84E02" w14:textId="77777777" w:rsidR="008A7890" w:rsidRDefault="008A7890" w:rsidP="008A7890">
      <w:pPr>
        <w:pStyle w:val="Brdtext"/>
      </w:pPr>
    </w:p>
    <w:p w14:paraId="75FBC4D5" w14:textId="77777777" w:rsidR="008A7890" w:rsidRDefault="008A7890" w:rsidP="008A7890">
      <w:pPr>
        <w:pStyle w:val="Brdtext"/>
      </w:pPr>
    </w:p>
    <w:p w14:paraId="63612CC1" w14:textId="7D731A1C" w:rsidR="008A7890" w:rsidRDefault="009A0A1D" w:rsidP="008A7890">
      <w:pPr>
        <w:pStyle w:val="Brdtext"/>
      </w:pPr>
      <w:r>
        <w:t>Aleksander Lyckow</w:t>
      </w:r>
    </w:p>
    <w:p w14:paraId="6B08A6DA" w14:textId="35A37583" w:rsidR="003633FB" w:rsidRPr="00D8520D" w:rsidRDefault="00C95AC3" w:rsidP="008A7890">
      <w:pPr>
        <w:pStyle w:val="Brdtext"/>
        <w:sectPr w:rsidR="003633FB" w:rsidRPr="00D8520D" w:rsidSect="003633FB">
          <w:type w:val="continuous"/>
          <w:pgSz w:w="11900" w:h="16840"/>
          <w:pgMar w:top="1340" w:right="740" w:bottom="640" w:left="1300" w:header="0" w:footer="460" w:gutter="0"/>
          <w:cols w:space="720"/>
        </w:sectPr>
      </w:pPr>
      <w:r>
        <w:t>Authorised</w:t>
      </w:r>
      <w:r w:rsidR="009A0A1D" w:rsidRPr="00D8520D">
        <w:t xml:space="preserve"> Public Accountant</w:t>
      </w:r>
    </w:p>
    <w:p w14:paraId="47A54551" w14:textId="77777777" w:rsidR="008A7890" w:rsidRPr="007837D6" w:rsidRDefault="008A7890" w:rsidP="008A7890">
      <w:pPr>
        <w:pStyle w:val="Brdtext"/>
      </w:pPr>
    </w:p>
    <w:sectPr w:rsidR="008A7890" w:rsidRPr="007837D6" w:rsidSect="002156C7">
      <w:type w:val="continuous"/>
      <w:pgSz w:w="11900" w:h="16840"/>
      <w:pgMar w:top="1340" w:right="740" w:bottom="640" w:left="1300" w:header="0" w:footer="460" w:gutter="0"/>
      <w:cols w:num="2" w:space="720" w:equalWidth="0">
        <w:col w:w="4802" w:space="185"/>
        <w:col w:w="48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A2D9" w14:textId="77777777" w:rsidR="00956950" w:rsidRDefault="00956950">
      <w:r>
        <w:separator/>
      </w:r>
    </w:p>
  </w:endnote>
  <w:endnote w:type="continuationSeparator" w:id="0">
    <w:p w14:paraId="24CA4EBD" w14:textId="77777777" w:rsidR="00956950" w:rsidRDefault="00956950">
      <w:r>
        <w:continuationSeparator/>
      </w:r>
    </w:p>
  </w:endnote>
  <w:endnote w:type="continuationNotice" w:id="1">
    <w:p w14:paraId="0566618C" w14:textId="77777777" w:rsidR="00956950" w:rsidRDefault="00956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09B7" w14:textId="77777777" w:rsidR="00987DAC" w:rsidRDefault="00987DAC">
    <w:pPr>
      <w:pStyle w:val="Brd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10227608"/>
      <w:docPartObj>
        <w:docPartGallery w:val="Page Numbers (Bottom of Page)"/>
        <w:docPartUnique/>
      </w:docPartObj>
    </w:sdtPr>
    <w:sdtContent>
      <w:p w14:paraId="2FEFED24" w14:textId="1FEBC52F" w:rsidR="00392F76" w:rsidRPr="00392F76" w:rsidRDefault="00392F76">
        <w:pPr>
          <w:pStyle w:val="Sidfot"/>
          <w:rPr>
            <w:sz w:val="16"/>
            <w:szCs w:val="16"/>
          </w:rPr>
        </w:pPr>
        <w:r w:rsidRPr="00392F76">
          <w:rPr>
            <w:sz w:val="16"/>
            <w:szCs w:val="16"/>
          </w:rPr>
          <w:fldChar w:fldCharType="begin"/>
        </w:r>
        <w:r w:rsidRPr="00392F76">
          <w:rPr>
            <w:sz w:val="16"/>
            <w:szCs w:val="16"/>
          </w:rPr>
          <w:instrText>PAGE   \* MERGEFORMAT</w:instrText>
        </w:r>
        <w:r w:rsidRPr="00392F76">
          <w:rPr>
            <w:sz w:val="16"/>
            <w:szCs w:val="16"/>
          </w:rPr>
          <w:fldChar w:fldCharType="separate"/>
        </w:r>
        <w:r w:rsidRPr="00392F76">
          <w:rPr>
            <w:sz w:val="16"/>
            <w:szCs w:val="16"/>
            <w:lang w:val="sv-SE"/>
          </w:rPr>
          <w:t>2</w:t>
        </w:r>
        <w:r w:rsidRPr="00392F76">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22424091"/>
      <w:docPartObj>
        <w:docPartGallery w:val="Page Numbers (Bottom of Page)"/>
        <w:docPartUnique/>
      </w:docPartObj>
    </w:sdtPr>
    <w:sdtContent>
      <w:p w14:paraId="0945BD60" w14:textId="77777777" w:rsidR="00FC51B0" w:rsidRPr="00392F76" w:rsidRDefault="00FC51B0">
        <w:pPr>
          <w:pStyle w:val="Sidfot"/>
          <w:rPr>
            <w:sz w:val="16"/>
            <w:szCs w:val="16"/>
          </w:rPr>
        </w:pPr>
        <w:r w:rsidRPr="00392F76">
          <w:rPr>
            <w:sz w:val="16"/>
            <w:szCs w:val="16"/>
          </w:rPr>
          <w:fldChar w:fldCharType="begin"/>
        </w:r>
        <w:r w:rsidRPr="00392F76">
          <w:rPr>
            <w:sz w:val="16"/>
            <w:szCs w:val="16"/>
          </w:rPr>
          <w:instrText>PAGE   \* MERGEFORMAT</w:instrText>
        </w:r>
        <w:r w:rsidRPr="00392F76">
          <w:rPr>
            <w:sz w:val="16"/>
            <w:szCs w:val="16"/>
          </w:rPr>
          <w:fldChar w:fldCharType="separate"/>
        </w:r>
        <w:r w:rsidRPr="00392F76">
          <w:rPr>
            <w:sz w:val="16"/>
            <w:szCs w:val="16"/>
            <w:lang w:val="sv-SE"/>
          </w:rPr>
          <w:t>2</w:t>
        </w:r>
        <w:r w:rsidRPr="00392F76">
          <w:rPr>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38408996"/>
      <w:docPartObj>
        <w:docPartGallery w:val="Page Numbers (Bottom of Page)"/>
        <w:docPartUnique/>
      </w:docPartObj>
    </w:sdtPr>
    <w:sdtContent>
      <w:p w14:paraId="7769F4E8" w14:textId="7F639880" w:rsidR="00B37D36" w:rsidRPr="00B37D36" w:rsidRDefault="00B37D36">
        <w:pPr>
          <w:pStyle w:val="Sidfot"/>
          <w:rPr>
            <w:sz w:val="16"/>
            <w:szCs w:val="16"/>
          </w:rPr>
        </w:pPr>
        <w:r w:rsidRPr="00B37D36">
          <w:rPr>
            <w:sz w:val="16"/>
            <w:szCs w:val="16"/>
          </w:rPr>
          <w:fldChar w:fldCharType="begin"/>
        </w:r>
        <w:r w:rsidRPr="00B37D36">
          <w:rPr>
            <w:sz w:val="16"/>
            <w:szCs w:val="16"/>
          </w:rPr>
          <w:instrText>PAGE   \* MERGEFORMAT</w:instrText>
        </w:r>
        <w:r w:rsidRPr="00B37D36">
          <w:rPr>
            <w:sz w:val="16"/>
            <w:szCs w:val="16"/>
          </w:rPr>
          <w:fldChar w:fldCharType="separate"/>
        </w:r>
        <w:r w:rsidRPr="00B37D36">
          <w:rPr>
            <w:sz w:val="16"/>
            <w:szCs w:val="16"/>
            <w:lang w:val="sv-SE"/>
          </w:rPr>
          <w:t>2</w:t>
        </w:r>
        <w:r w:rsidRPr="00B37D36">
          <w:rPr>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9715655"/>
      <w:docPartObj>
        <w:docPartGallery w:val="Page Numbers (Bottom of Page)"/>
        <w:docPartUnique/>
      </w:docPartObj>
    </w:sdtPr>
    <w:sdtContent>
      <w:p w14:paraId="261FF610" w14:textId="77777777" w:rsidR="00DE4A6E" w:rsidRPr="00B37D36" w:rsidRDefault="00DE4A6E">
        <w:pPr>
          <w:pStyle w:val="Sidfot"/>
          <w:rPr>
            <w:sz w:val="16"/>
            <w:szCs w:val="16"/>
          </w:rPr>
        </w:pPr>
        <w:r w:rsidRPr="00B37D36">
          <w:rPr>
            <w:sz w:val="16"/>
            <w:szCs w:val="16"/>
          </w:rPr>
          <w:fldChar w:fldCharType="begin"/>
        </w:r>
        <w:r w:rsidRPr="00B37D36">
          <w:rPr>
            <w:sz w:val="16"/>
            <w:szCs w:val="16"/>
          </w:rPr>
          <w:instrText>PAGE   \* MERGEFORMAT</w:instrText>
        </w:r>
        <w:r w:rsidRPr="00B37D36">
          <w:rPr>
            <w:sz w:val="16"/>
            <w:szCs w:val="16"/>
          </w:rPr>
          <w:fldChar w:fldCharType="separate"/>
        </w:r>
        <w:r w:rsidRPr="00B37D36">
          <w:rPr>
            <w:sz w:val="16"/>
            <w:szCs w:val="16"/>
            <w:lang w:val="sv-SE"/>
          </w:rPr>
          <w:t>2</w:t>
        </w:r>
        <w:r w:rsidRPr="00B37D36">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7CE3" w14:textId="77777777" w:rsidR="00956950" w:rsidRDefault="00956950">
      <w:r>
        <w:separator/>
      </w:r>
    </w:p>
  </w:footnote>
  <w:footnote w:type="continuationSeparator" w:id="0">
    <w:p w14:paraId="2F669D02" w14:textId="77777777" w:rsidR="00956950" w:rsidRDefault="00956950">
      <w:r>
        <w:continuationSeparator/>
      </w:r>
    </w:p>
  </w:footnote>
  <w:footnote w:type="continuationNotice" w:id="1">
    <w:p w14:paraId="7F1BBE70" w14:textId="77777777" w:rsidR="00956950" w:rsidRDefault="00956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09B6" w14:textId="77777777" w:rsidR="00987DAC" w:rsidRDefault="00987DAC">
    <w:pPr>
      <w:pStyle w:val="Brd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D6ED" w14:textId="77777777" w:rsidR="00872D82" w:rsidRPr="0001217B" w:rsidRDefault="00872D82" w:rsidP="00872D82">
    <w:pPr>
      <w:pStyle w:val="Sidhuvud"/>
      <w:rPr>
        <w:sz w:val="16"/>
        <w:szCs w:val="16"/>
      </w:rPr>
    </w:pPr>
    <w:r w:rsidRPr="0001217B">
      <w:rPr>
        <w:sz w:val="16"/>
        <w:szCs w:val="16"/>
      </w:rPr>
      <w:t>JY Holding AB</w:t>
    </w:r>
    <w:r>
      <w:rPr>
        <w:sz w:val="16"/>
        <w:szCs w:val="16"/>
      </w:rPr>
      <w:t xml:space="preserve"> (publ)</w:t>
    </w:r>
  </w:p>
  <w:p w14:paraId="197F2AC6" w14:textId="77777777" w:rsidR="00872D82" w:rsidRPr="0001217B" w:rsidRDefault="00872D82" w:rsidP="00872D82">
    <w:pPr>
      <w:pStyle w:val="Sidhuvud"/>
      <w:rPr>
        <w:sz w:val="16"/>
        <w:szCs w:val="16"/>
      </w:rPr>
    </w:pPr>
    <w:r w:rsidRPr="0001217B">
      <w:rPr>
        <w:sz w:val="16"/>
        <w:szCs w:val="16"/>
      </w:rPr>
      <w:t>5591</w:t>
    </w:r>
    <w:r>
      <w:rPr>
        <w:sz w:val="16"/>
        <w:szCs w:val="16"/>
      </w:rPr>
      <w:t>5</w:t>
    </w:r>
    <w:r w:rsidRPr="0001217B">
      <w:rPr>
        <w:sz w:val="16"/>
        <w:szCs w:val="16"/>
      </w:rPr>
      <w:t>4-</w:t>
    </w:r>
    <w:r>
      <w:rPr>
        <w:sz w:val="16"/>
        <w:szCs w:val="16"/>
      </w:rPr>
      <w:t>1023</w:t>
    </w:r>
  </w:p>
  <w:p w14:paraId="3C6509B8" w14:textId="25B0116F" w:rsidR="00987DAC" w:rsidRPr="003A73E8" w:rsidRDefault="00987DAC" w:rsidP="003A73E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09BC" w14:textId="1EC0E8CE" w:rsidR="00987DAC" w:rsidRPr="0028609A" w:rsidRDefault="0028609A" w:rsidP="0028609A">
    <w:pPr>
      <w:pStyle w:val="Sidhuvud"/>
      <w:rPr>
        <w:sz w:val="16"/>
        <w:szCs w:val="16"/>
      </w:rPr>
    </w:pPr>
    <w:r w:rsidRPr="0028609A">
      <w:rPr>
        <w:sz w:val="16"/>
        <w:szCs w:val="16"/>
      </w:rPr>
      <w:t>JY Holding AB (publ)</w:t>
    </w:r>
    <w:r w:rsidRPr="0028609A">
      <w:rPr>
        <w:sz w:val="16"/>
        <w:szCs w:val="16"/>
      </w:rPr>
      <w:br/>
      <w:t>559154-1023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C37"/>
    <w:multiLevelType w:val="hybridMultilevel"/>
    <w:tmpl w:val="31F867BC"/>
    <w:lvl w:ilvl="0" w:tplc="1CF2B4A0">
      <w:numFmt w:val="bullet"/>
      <w:lvlText w:val="•"/>
      <w:lvlJc w:val="left"/>
      <w:pPr>
        <w:ind w:left="478" w:hanging="104"/>
      </w:pPr>
      <w:rPr>
        <w:rFonts w:ascii="Garamond" w:eastAsia="Garamond" w:hAnsi="Garamond" w:cs="Garamond" w:hint="default"/>
        <w:b w:val="0"/>
        <w:bCs w:val="0"/>
        <w:i w:val="0"/>
        <w:iCs w:val="0"/>
        <w:spacing w:val="0"/>
        <w:w w:val="100"/>
        <w:sz w:val="17"/>
        <w:szCs w:val="17"/>
        <w:lang w:val="en-US" w:eastAsia="en-US" w:bidi="ar-SA"/>
      </w:rPr>
    </w:lvl>
    <w:lvl w:ilvl="1" w:tplc="E6AE2F48">
      <w:numFmt w:val="bullet"/>
      <w:lvlText w:val="•"/>
      <w:lvlJc w:val="left"/>
      <w:pPr>
        <w:ind w:left="919" w:hanging="104"/>
      </w:pPr>
      <w:rPr>
        <w:rFonts w:hint="default"/>
        <w:lang w:val="en-US" w:eastAsia="en-US" w:bidi="ar-SA"/>
      </w:rPr>
    </w:lvl>
    <w:lvl w:ilvl="2" w:tplc="67FA5176">
      <w:numFmt w:val="bullet"/>
      <w:lvlText w:val="•"/>
      <w:lvlJc w:val="left"/>
      <w:pPr>
        <w:ind w:left="1358" w:hanging="104"/>
      </w:pPr>
      <w:rPr>
        <w:rFonts w:hint="default"/>
        <w:lang w:val="en-US" w:eastAsia="en-US" w:bidi="ar-SA"/>
      </w:rPr>
    </w:lvl>
    <w:lvl w:ilvl="3" w:tplc="951CD7AA">
      <w:numFmt w:val="bullet"/>
      <w:lvlText w:val="•"/>
      <w:lvlJc w:val="left"/>
      <w:pPr>
        <w:ind w:left="1797" w:hanging="104"/>
      </w:pPr>
      <w:rPr>
        <w:rFonts w:hint="default"/>
        <w:lang w:val="en-US" w:eastAsia="en-US" w:bidi="ar-SA"/>
      </w:rPr>
    </w:lvl>
    <w:lvl w:ilvl="4" w:tplc="491ADAEA">
      <w:numFmt w:val="bullet"/>
      <w:lvlText w:val="•"/>
      <w:lvlJc w:val="left"/>
      <w:pPr>
        <w:ind w:left="2237" w:hanging="104"/>
      </w:pPr>
      <w:rPr>
        <w:rFonts w:hint="default"/>
        <w:lang w:val="en-US" w:eastAsia="en-US" w:bidi="ar-SA"/>
      </w:rPr>
    </w:lvl>
    <w:lvl w:ilvl="5" w:tplc="FAE4821E">
      <w:numFmt w:val="bullet"/>
      <w:lvlText w:val="•"/>
      <w:lvlJc w:val="left"/>
      <w:pPr>
        <w:ind w:left="2676" w:hanging="104"/>
      </w:pPr>
      <w:rPr>
        <w:rFonts w:hint="default"/>
        <w:lang w:val="en-US" w:eastAsia="en-US" w:bidi="ar-SA"/>
      </w:rPr>
    </w:lvl>
    <w:lvl w:ilvl="6" w:tplc="5FF21A76">
      <w:numFmt w:val="bullet"/>
      <w:lvlText w:val="•"/>
      <w:lvlJc w:val="left"/>
      <w:pPr>
        <w:ind w:left="3115" w:hanging="104"/>
      </w:pPr>
      <w:rPr>
        <w:rFonts w:hint="default"/>
        <w:lang w:val="en-US" w:eastAsia="en-US" w:bidi="ar-SA"/>
      </w:rPr>
    </w:lvl>
    <w:lvl w:ilvl="7" w:tplc="8F704D2C">
      <w:numFmt w:val="bullet"/>
      <w:lvlText w:val="•"/>
      <w:lvlJc w:val="left"/>
      <w:pPr>
        <w:ind w:left="3554" w:hanging="104"/>
      </w:pPr>
      <w:rPr>
        <w:rFonts w:hint="default"/>
        <w:lang w:val="en-US" w:eastAsia="en-US" w:bidi="ar-SA"/>
      </w:rPr>
    </w:lvl>
    <w:lvl w:ilvl="8" w:tplc="DF181D0A">
      <w:numFmt w:val="bullet"/>
      <w:lvlText w:val="•"/>
      <w:lvlJc w:val="left"/>
      <w:pPr>
        <w:ind w:left="3994" w:hanging="104"/>
      </w:pPr>
      <w:rPr>
        <w:rFonts w:hint="default"/>
        <w:lang w:val="en-US" w:eastAsia="en-US" w:bidi="ar-SA"/>
      </w:rPr>
    </w:lvl>
  </w:abstractNum>
  <w:abstractNum w:abstractNumId="1" w15:restartNumberingAfterBreak="0">
    <w:nsid w:val="07B3007C"/>
    <w:multiLevelType w:val="hybridMultilevel"/>
    <w:tmpl w:val="991C2B98"/>
    <w:lvl w:ilvl="0" w:tplc="041D0001">
      <w:start w:val="1"/>
      <w:numFmt w:val="bullet"/>
      <w:lvlText w:val=""/>
      <w:lvlJc w:val="left"/>
      <w:pPr>
        <w:ind w:left="838" w:hanging="360"/>
      </w:pPr>
      <w:rPr>
        <w:rFonts w:ascii="Symbol" w:hAnsi="Symbol" w:hint="default"/>
      </w:rPr>
    </w:lvl>
    <w:lvl w:ilvl="1" w:tplc="BD9A7130">
      <w:numFmt w:val="bullet"/>
      <w:lvlText w:val="-"/>
      <w:lvlJc w:val="left"/>
      <w:pPr>
        <w:ind w:left="1558" w:hanging="360"/>
      </w:pPr>
      <w:rPr>
        <w:rFonts w:ascii="Arial" w:eastAsia="Arial" w:hAnsi="Arial" w:cs="Arial"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2" w15:restartNumberingAfterBreak="0">
    <w:nsid w:val="0A870370"/>
    <w:multiLevelType w:val="hybridMultilevel"/>
    <w:tmpl w:val="DF88EB6C"/>
    <w:lvl w:ilvl="0" w:tplc="041D0001">
      <w:start w:val="1"/>
      <w:numFmt w:val="bullet"/>
      <w:lvlText w:val=""/>
      <w:lvlJc w:val="left"/>
      <w:pPr>
        <w:ind w:left="838" w:hanging="360"/>
      </w:pPr>
      <w:rPr>
        <w:rFonts w:ascii="Symbol" w:hAnsi="Symbol" w:hint="default"/>
      </w:rPr>
    </w:lvl>
    <w:lvl w:ilvl="1" w:tplc="7A28AB82">
      <w:numFmt w:val="bullet"/>
      <w:lvlText w:val="-"/>
      <w:lvlJc w:val="left"/>
      <w:pPr>
        <w:ind w:left="1558" w:hanging="360"/>
      </w:pPr>
      <w:rPr>
        <w:rFonts w:ascii="Arial" w:eastAsia="Arial" w:hAnsi="Arial" w:cs="Arial"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3" w15:restartNumberingAfterBreak="0">
    <w:nsid w:val="0E2D03B0"/>
    <w:multiLevelType w:val="hybridMultilevel"/>
    <w:tmpl w:val="3D6CE264"/>
    <w:lvl w:ilvl="0" w:tplc="A50C542C">
      <w:start w:val="1"/>
      <w:numFmt w:val="decimal"/>
      <w:lvlText w:val="%1)"/>
      <w:lvlJc w:val="left"/>
      <w:pPr>
        <w:ind w:left="118" w:hanging="212"/>
      </w:pPr>
      <w:rPr>
        <w:rFonts w:ascii="Arial" w:eastAsia="Arial" w:hAnsi="Arial" w:cs="Arial" w:hint="default"/>
        <w:b w:val="0"/>
        <w:bCs w:val="0"/>
        <w:i w:val="0"/>
        <w:iCs w:val="0"/>
        <w:spacing w:val="0"/>
        <w:w w:val="99"/>
        <w:sz w:val="18"/>
        <w:szCs w:val="18"/>
        <w:lang w:val="en-US" w:eastAsia="en-US" w:bidi="ar-SA"/>
      </w:rPr>
    </w:lvl>
    <w:lvl w:ilvl="1" w:tplc="AFE0D996">
      <w:numFmt w:val="bullet"/>
      <w:lvlText w:val="•"/>
      <w:lvlJc w:val="left"/>
      <w:pPr>
        <w:ind w:left="1070" w:hanging="212"/>
      </w:pPr>
      <w:rPr>
        <w:rFonts w:hint="default"/>
        <w:lang w:val="en-US" w:eastAsia="en-US" w:bidi="ar-SA"/>
      </w:rPr>
    </w:lvl>
    <w:lvl w:ilvl="2" w:tplc="D68063BA">
      <w:numFmt w:val="bullet"/>
      <w:lvlText w:val="•"/>
      <w:lvlJc w:val="left"/>
      <w:pPr>
        <w:ind w:left="2021" w:hanging="212"/>
      </w:pPr>
      <w:rPr>
        <w:rFonts w:hint="default"/>
        <w:lang w:val="en-US" w:eastAsia="en-US" w:bidi="ar-SA"/>
      </w:rPr>
    </w:lvl>
    <w:lvl w:ilvl="3" w:tplc="75745B24">
      <w:numFmt w:val="bullet"/>
      <w:lvlText w:val="•"/>
      <w:lvlJc w:val="left"/>
      <w:pPr>
        <w:ind w:left="2972" w:hanging="212"/>
      </w:pPr>
      <w:rPr>
        <w:rFonts w:hint="default"/>
        <w:lang w:val="en-US" w:eastAsia="en-US" w:bidi="ar-SA"/>
      </w:rPr>
    </w:lvl>
    <w:lvl w:ilvl="4" w:tplc="FD1E18DE">
      <w:numFmt w:val="bullet"/>
      <w:lvlText w:val="•"/>
      <w:lvlJc w:val="left"/>
      <w:pPr>
        <w:ind w:left="3923" w:hanging="212"/>
      </w:pPr>
      <w:rPr>
        <w:rFonts w:hint="default"/>
        <w:lang w:val="en-US" w:eastAsia="en-US" w:bidi="ar-SA"/>
      </w:rPr>
    </w:lvl>
    <w:lvl w:ilvl="5" w:tplc="53F07BA2">
      <w:numFmt w:val="bullet"/>
      <w:lvlText w:val="•"/>
      <w:lvlJc w:val="left"/>
      <w:pPr>
        <w:ind w:left="4874" w:hanging="212"/>
      </w:pPr>
      <w:rPr>
        <w:rFonts w:hint="default"/>
        <w:lang w:val="en-US" w:eastAsia="en-US" w:bidi="ar-SA"/>
      </w:rPr>
    </w:lvl>
    <w:lvl w:ilvl="6" w:tplc="87FC2F3C">
      <w:numFmt w:val="bullet"/>
      <w:lvlText w:val="•"/>
      <w:lvlJc w:val="left"/>
      <w:pPr>
        <w:ind w:left="5825" w:hanging="212"/>
      </w:pPr>
      <w:rPr>
        <w:rFonts w:hint="default"/>
        <w:lang w:val="en-US" w:eastAsia="en-US" w:bidi="ar-SA"/>
      </w:rPr>
    </w:lvl>
    <w:lvl w:ilvl="7" w:tplc="7B109104">
      <w:numFmt w:val="bullet"/>
      <w:lvlText w:val="•"/>
      <w:lvlJc w:val="left"/>
      <w:pPr>
        <w:ind w:left="6776" w:hanging="212"/>
      </w:pPr>
      <w:rPr>
        <w:rFonts w:hint="default"/>
        <w:lang w:val="en-US" w:eastAsia="en-US" w:bidi="ar-SA"/>
      </w:rPr>
    </w:lvl>
    <w:lvl w:ilvl="8" w:tplc="F49EE218">
      <w:numFmt w:val="bullet"/>
      <w:lvlText w:val="•"/>
      <w:lvlJc w:val="left"/>
      <w:pPr>
        <w:ind w:left="7727" w:hanging="212"/>
      </w:pPr>
      <w:rPr>
        <w:rFonts w:hint="default"/>
        <w:lang w:val="en-US" w:eastAsia="en-US" w:bidi="ar-SA"/>
      </w:rPr>
    </w:lvl>
  </w:abstractNum>
  <w:abstractNum w:abstractNumId="4" w15:restartNumberingAfterBreak="0">
    <w:nsid w:val="12A565E2"/>
    <w:multiLevelType w:val="hybridMultilevel"/>
    <w:tmpl w:val="BCCEA2A0"/>
    <w:lvl w:ilvl="0" w:tplc="5E5E9C8C">
      <w:start w:val="1"/>
      <w:numFmt w:val="lowerRoman"/>
      <w:lvlText w:val="%1)"/>
      <w:lvlJc w:val="left"/>
      <w:pPr>
        <w:ind w:left="269" w:hanging="151"/>
      </w:pPr>
      <w:rPr>
        <w:rFonts w:ascii="Arial" w:eastAsia="Arial" w:hAnsi="Arial" w:cs="Arial" w:hint="default"/>
        <w:b w:val="0"/>
        <w:bCs w:val="0"/>
        <w:i w:val="0"/>
        <w:iCs w:val="0"/>
        <w:spacing w:val="0"/>
        <w:w w:val="100"/>
        <w:sz w:val="18"/>
        <w:szCs w:val="18"/>
        <w:lang w:val="en-US" w:eastAsia="en-US" w:bidi="ar-SA"/>
      </w:rPr>
    </w:lvl>
    <w:lvl w:ilvl="1" w:tplc="41FA7440">
      <w:numFmt w:val="bullet"/>
      <w:lvlText w:val="•"/>
      <w:lvlJc w:val="left"/>
      <w:pPr>
        <w:ind w:left="1196" w:hanging="151"/>
      </w:pPr>
      <w:rPr>
        <w:rFonts w:hint="default"/>
        <w:lang w:val="en-US" w:eastAsia="en-US" w:bidi="ar-SA"/>
      </w:rPr>
    </w:lvl>
    <w:lvl w:ilvl="2" w:tplc="37A2CB82">
      <w:numFmt w:val="bullet"/>
      <w:lvlText w:val="•"/>
      <w:lvlJc w:val="left"/>
      <w:pPr>
        <w:ind w:left="2133" w:hanging="151"/>
      </w:pPr>
      <w:rPr>
        <w:rFonts w:hint="default"/>
        <w:lang w:val="en-US" w:eastAsia="en-US" w:bidi="ar-SA"/>
      </w:rPr>
    </w:lvl>
    <w:lvl w:ilvl="3" w:tplc="AE08E842">
      <w:numFmt w:val="bullet"/>
      <w:lvlText w:val="•"/>
      <w:lvlJc w:val="left"/>
      <w:pPr>
        <w:ind w:left="3070" w:hanging="151"/>
      </w:pPr>
      <w:rPr>
        <w:rFonts w:hint="default"/>
        <w:lang w:val="en-US" w:eastAsia="en-US" w:bidi="ar-SA"/>
      </w:rPr>
    </w:lvl>
    <w:lvl w:ilvl="4" w:tplc="A9581DBC">
      <w:numFmt w:val="bullet"/>
      <w:lvlText w:val="•"/>
      <w:lvlJc w:val="left"/>
      <w:pPr>
        <w:ind w:left="4007" w:hanging="151"/>
      </w:pPr>
      <w:rPr>
        <w:rFonts w:hint="default"/>
        <w:lang w:val="en-US" w:eastAsia="en-US" w:bidi="ar-SA"/>
      </w:rPr>
    </w:lvl>
    <w:lvl w:ilvl="5" w:tplc="2C925770">
      <w:numFmt w:val="bullet"/>
      <w:lvlText w:val="•"/>
      <w:lvlJc w:val="left"/>
      <w:pPr>
        <w:ind w:left="4944" w:hanging="151"/>
      </w:pPr>
      <w:rPr>
        <w:rFonts w:hint="default"/>
        <w:lang w:val="en-US" w:eastAsia="en-US" w:bidi="ar-SA"/>
      </w:rPr>
    </w:lvl>
    <w:lvl w:ilvl="6" w:tplc="E28CC3C8">
      <w:numFmt w:val="bullet"/>
      <w:lvlText w:val="•"/>
      <w:lvlJc w:val="left"/>
      <w:pPr>
        <w:ind w:left="5881" w:hanging="151"/>
      </w:pPr>
      <w:rPr>
        <w:rFonts w:hint="default"/>
        <w:lang w:val="en-US" w:eastAsia="en-US" w:bidi="ar-SA"/>
      </w:rPr>
    </w:lvl>
    <w:lvl w:ilvl="7" w:tplc="7E9E131E">
      <w:numFmt w:val="bullet"/>
      <w:lvlText w:val="•"/>
      <w:lvlJc w:val="left"/>
      <w:pPr>
        <w:ind w:left="6818" w:hanging="151"/>
      </w:pPr>
      <w:rPr>
        <w:rFonts w:hint="default"/>
        <w:lang w:val="en-US" w:eastAsia="en-US" w:bidi="ar-SA"/>
      </w:rPr>
    </w:lvl>
    <w:lvl w:ilvl="8" w:tplc="C9369EAC">
      <w:numFmt w:val="bullet"/>
      <w:lvlText w:val="•"/>
      <w:lvlJc w:val="left"/>
      <w:pPr>
        <w:ind w:left="7755" w:hanging="151"/>
      </w:pPr>
      <w:rPr>
        <w:rFonts w:hint="default"/>
        <w:lang w:val="en-US" w:eastAsia="en-US" w:bidi="ar-SA"/>
      </w:rPr>
    </w:lvl>
  </w:abstractNum>
  <w:abstractNum w:abstractNumId="5" w15:restartNumberingAfterBreak="0">
    <w:nsid w:val="231106E4"/>
    <w:multiLevelType w:val="hybridMultilevel"/>
    <w:tmpl w:val="03A063F8"/>
    <w:lvl w:ilvl="0" w:tplc="041D0005">
      <w:start w:val="1"/>
      <w:numFmt w:val="bullet"/>
      <w:lvlText w:val=""/>
      <w:lvlJc w:val="left"/>
      <w:pPr>
        <w:ind w:left="838" w:hanging="360"/>
      </w:pPr>
      <w:rPr>
        <w:rFonts w:ascii="Wingdings" w:hAnsi="Wingdings"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6" w15:restartNumberingAfterBreak="0">
    <w:nsid w:val="3F9157ED"/>
    <w:multiLevelType w:val="hybridMultilevel"/>
    <w:tmpl w:val="E4645E38"/>
    <w:lvl w:ilvl="0" w:tplc="041D000B">
      <w:start w:val="1"/>
      <w:numFmt w:val="bullet"/>
      <w:lvlText w:val=""/>
      <w:lvlJc w:val="left"/>
      <w:pPr>
        <w:ind w:left="838" w:hanging="360"/>
      </w:pPr>
      <w:rPr>
        <w:rFonts w:ascii="Wingdings" w:hAnsi="Wingdings"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7" w15:restartNumberingAfterBreak="0">
    <w:nsid w:val="428A7B94"/>
    <w:multiLevelType w:val="hybridMultilevel"/>
    <w:tmpl w:val="C9F8AEBC"/>
    <w:lvl w:ilvl="0" w:tplc="F522BCE8">
      <w:numFmt w:val="bullet"/>
      <w:lvlText w:val="-"/>
      <w:lvlJc w:val="left"/>
      <w:pPr>
        <w:ind w:left="478" w:hanging="360"/>
      </w:pPr>
      <w:rPr>
        <w:rFonts w:ascii="Arial" w:eastAsia="Arial" w:hAnsi="Arial" w:cs="Arial" w:hint="default"/>
      </w:rPr>
    </w:lvl>
    <w:lvl w:ilvl="1" w:tplc="041D0003" w:tentative="1">
      <w:start w:val="1"/>
      <w:numFmt w:val="bullet"/>
      <w:lvlText w:val="o"/>
      <w:lvlJc w:val="left"/>
      <w:pPr>
        <w:ind w:left="1198" w:hanging="360"/>
      </w:pPr>
      <w:rPr>
        <w:rFonts w:ascii="Courier New" w:hAnsi="Courier New" w:cs="Courier New" w:hint="default"/>
      </w:rPr>
    </w:lvl>
    <w:lvl w:ilvl="2" w:tplc="041D0005" w:tentative="1">
      <w:start w:val="1"/>
      <w:numFmt w:val="bullet"/>
      <w:lvlText w:val=""/>
      <w:lvlJc w:val="left"/>
      <w:pPr>
        <w:ind w:left="1918" w:hanging="360"/>
      </w:pPr>
      <w:rPr>
        <w:rFonts w:ascii="Wingdings" w:hAnsi="Wingdings" w:hint="default"/>
      </w:rPr>
    </w:lvl>
    <w:lvl w:ilvl="3" w:tplc="041D0001" w:tentative="1">
      <w:start w:val="1"/>
      <w:numFmt w:val="bullet"/>
      <w:lvlText w:val=""/>
      <w:lvlJc w:val="left"/>
      <w:pPr>
        <w:ind w:left="2638" w:hanging="360"/>
      </w:pPr>
      <w:rPr>
        <w:rFonts w:ascii="Symbol" w:hAnsi="Symbol" w:hint="default"/>
      </w:rPr>
    </w:lvl>
    <w:lvl w:ilvl="4" w:tplc="041D0003" w:tentative="1">
      <w:start w:val="1"/>
      <w:numFmt w:val="bullet"/>
      <w:lvlText w:val="o"/>
      <w:lvlJc w:val="left"/>
      <w:pPr>
        <w:ind w:left="3358" w:hanging="360"/>
      </w:pPr>
      <w:rPr>
        <w:rFonts w:ascii="Courier New" w:hAnsi="Courier New" w:cs="Courier New" w:hint="default"/>
      </w:rPr>
    </w:lvl>
    <w:lvl w:ilvl="5" w:tplc="041D0005" w:tentative="1">
      <w:start w:val="1"/>
      <w:numFmt w:val="bullet"/>
      <w:lvlText w:val=""/>
      <w:lvlJc w:val="left"/>
      <w:pPr>
        <w:ind w:left="4078" w:hanging="360"/>
      </w:pPr>
      <w:rPr>
        <w:rFonts w:ascii="Wingdings" w:hAnsi="Wingdings" w:hint="default"/>
      </w:rPr>
    </w:lvl>
    <w:lvl w:ilvl="6" w:tplc="041D0001" w:tentative="1">
      <w:start w:val="1"/>
      <w:numFmt w:val="bullet"/>
      <w:lvlText w:val=""/>
      <w:lvlJc w:val="left"/>
      <w:pPr>
        <w:ind w:left="4798" w:hanging="360"/>
      </w:pPr>
      <w:rPr>
        <w:rFonts w:ascii="Symbol" w:hAnsi="Symbol" w:hint="default"/>
      </w:rPr>
    </w:lvl>
    <w:lvl w:ilvl="7" w:tplc="041D0003" w:tentative="1">
      <w:start w:val="1"/>
      <w:numFmt w:val="bullet"/>
      <w:lvlText w:val="o"/>
      <w:lvlJc w:val="left"/>
      <w:pPr>
        <w:ind w:left="5518" w:hanging="360"/>
      </w:pPr>
      <w:rPr>
        <w:rFonts w:ascii="Courier New" w:hAnsi="Courier New" w:cs="Courier New" w:hint="default"/>
      </w:rPr>
    </w:lvl>
    <w:lvl w:ilvl="8" w:tplc="041D0005" w:tentative="1">
      <w:start w:val="1"/>
      <w:numFmt w:val="bullet"/>
      <w:lvlText w:val=""/>
      <w:lvlJc w:val="left"/>
      <w:pPr>
        <w:ind w:left="6238" w:hanging="360"/>
      </w:pPr>
      <w:rPr>
        <w:rFonts w:ascii="Wingdings" w:hAnsi="Wingdings" w:hint="default"/>
      </w:rPr>
    </w:lvl>
  </w:abstractNum>
  <w:abstractNum w:abstractNumId="8" w15:restartNumberingAfterBreak="0">
    <w:nsid w:val="44A06B86"/>
    <w:multiLevelType w:val="hybridMultilevel"/>
    <w:tmpl w:val="6178D0F8"/>
    <w:lvl w:ilvl="0" w:tplc="6BF2A854">
      <w:numFmt w:val="bullet"/>
      <w:lvlText w:val="*"/>
      <w:lvlJc w:val="left"/>
      <w:pPr>
        <w:ind w:left="238" w:hanging="121"/>
      </w:pPr>
      <w:rPr>
        <w:rFonts w:ascii="Arial" w:eastAsia="Arial" w:hAnsi="Arial" w:cs="Arial" w:hint="default"/>
        <w:b w:val="0"/>
        <w:bCs w:val="0"/>
        <w:i w:val="0"/>
        <w:iCs w:val="0"/>
        <w:spacing w:val="0"/>
        <w:w w:val="99"/>
        <w:sz w:val="18"/>
        <w:szCs w:val="18"/>
        <w:lang w:val="en-US" w:eastAsia="en-US" w:bidi="ar-SA"/>
      </w:rPr>
    </w:lvl>
    <w:lvl w:ilvl="1" w:tplc="2FBEE920">
      <w:numFmt w:val="bullet"/>
      <w:lvlText w:val="•"/>
      <w:lvlJc w:val="left"/>
      <w:pPr>
        <w:ind w:left="1178" w:hanging="121"/>
      </w:pPr>
      <w:rPr>
        <w:rFonts w:hint="default"/>
        <w:lang w:val="en-US" w:eastAsia="en-US" w:bidi="ar-SA"/>
      </w:rPr>
    </w:lvl>
    <w:lvl w:ilvl="2" w:tplc="218EAEF0">
      <w:numFmt w:val="bullet"/>
      <w:lvlText w:val="•"/>
      <w:lvlJc w:val="left"/>
      <w:pPr>
        <w:ind w:left="2117" w:hanging="121"/>
      </w:pPr>
      <w:rPr>
        <w:rFonts w:hint="default"/>
        <w:lang w:val="en-US" w:eastAsia="en-US" w:bidi="ar-SA"/>
      </w:rPr>
    </w:lvl>
    <w:lvl w:ilvl="3" w:tplc="AD4A720A">
      <w:numFmt w:val="bullet"/>
      <w:lvlText w:val="•"/>
      <w:lvlJc w:val="left"/>
      <w:pPr>
        <w:ind w:left="3056" w:hanging="121"/>
      </w:pPr>
      <w:rPr>
        <w:rFonts w:hint="default"/>
        <w:lang w:val="en-US" w:eastAsia="en-US" w:bidi="ar-SA"/>
      </w:rPr>
    </w:lvl>
    <w:lvl w:ilvl="4" w:tplc="8B14F826">
      <w:numFmt w:val="bullet"/>
      <w:lvlText w:val="•"/>
      <w:lvlJc w:val="left"/>
      <w:pPr>
        <w:ind w:left="3995" w:hanging="121"/>
      </w:pPr>
      <w:rPr>
        <w:rFonts w:hint="default"/>
        <w:lang w:val="en-US" w:eastAsia="en-US" w:bidi="ar-SA"/>
      </w:rPr>
    </w:lvl>
    <w:lvl w:ilvl="5" w:tplc="89061E1C">
      <w:numFmt w:val="bullet"/>
      <w:lvlText w:val="•"/>
      <w:lvlJc w:val="left"/>
      <w:pPr>
        <w:ind w:left="4934" w:hanging="121"/>
      </w:pPr>
      <w:rPr>
        <w:rFonts w:hint="default"/>
        <w:lang w:val="en-US" w:eastAsia="en-US" w:bidi="ar-SA"/>
      </w:rPr>
    </w:lvl>
    <w:lvl w:ilvl="6" w:tplc="955433CE">
      <w:numFmt w:val="bullet"/>
      <w:lvlText w:val="•"/>
      <w:lvlJc w:val="left"/>
      <w:pPr>
        <w:ind w:left="5873" w:hanging="121"/>
      </w:pPr>
      <w:rPr>
        <w:rFonts w:hint="default"/>
        <w:lang w:val="en-US" w:eastAsia="en-US" w:bidi="ar-SA"/>
      </w:rPr>
    </w:lvl>
    <w:lvl w:ilvl="7" w:tplc="ADB211CC">
      <w:numFmt w:val="bullet"/>
      <w:lvlText w:val="•"/>
      <w:lvlJc w:val="left"/>
      <w:pPr>
        <w:ind w:left="6812" w:hanging="121"/>
      </w:pPr>
      <w:rPr>
        <w:rFonts w:hint="default"/>
        <w:lang w:val="en-US" w:eastAsia="en-US" w:bidi="ar-SA"/>
      </w:rPr>
    </w:lvl>
    <w:lvl w:ilvl="8" w:tplc="113A2CE4">
      <w:numFmt w:val="bullet"/>
      <w:lvlText w:val="•"/>
      <w:lvlJc w:val="left"/>
      <w:pPr>
        <w:ind w:left="7751" w:hanging="121"/>
      </w:pPr>
      <w:rPr>
        <w:rFonts w:hint="default"/>
        <w:lang w:val="en-US" w:eastAsia="en-US" w:bidi="ar-SA"/>
      </w:rPr>
    </w:lvl>
  </w:abstractNum>
  <w:abstractNum w:abstractNumId="9" w15:restartNumberingAfterBreak="0">
    <w:nsid w:val="45307F0F"/>
    <w:multiLevelType w:val="hybridMultilevel"/>
    <w:tmpl w:val="6E9CC132"/>
    <w:lvl w:ilvl="0" w:tplc="29E22E32">
      <w:numFmt w:val="bullet"/>
      <w:lvlText w:val="•"/>
      <w:lvlJc w:val="left"/>
      <w:pPr>
        <w:ind w:left="118" w:hanging="104"/>
      </w:pPr>
      <w:rPr>
        <w:rFonts w:ascii="Garamond" w:eastAsia="Garamond" w:hAnsi="Garamond" w:cs="Garamond" w:hint="default"/>
        <w:b w:val="0"/>
        <w:bCs w:val="0"/>
        <w:i w:val="0"/>
        <w:iCs w:val="0"/>
        <w:spacing w:val="0"/>
        <w:w w:val="100"/>
        <w:sz w:val="17"/>
        <w:szCs w:val="17"/>
        <w:lang w:val="en-US" w:eastAsia="en-US" w:bidi="ar-SA"/>
      </w:rPr>
    </w:lvl>
    <w:lvl w:ilvl="1" w:tplc="96D29A6C">
      <w:numFmt w:val="bullet"/>
      <w:lvlText w:val="•"/>
      <w:lvlJc w:val="left"/>
      <w:pPr>
        <w:ind w:left="588" w:hanging="104"/>
      </w:pPr>
      <w:rPr>
        <w:rFonts w:hint="default"/>
        <w:lang w:val="en-US" w:eastAsia="en-US" w:bidi="ar-SA"/>
      </w:rPr>
    </w:lvl>
    <w:lvl w:ilvl="2" w:tplc="8A12351A">
      <w:numFmt w:val="bullet"/>
      <w:lvlText w:val="•"/>
      <w:lvlJc w:val="left"/>
      <w:pPr>
        <w:ind w:left="1056" w:hanging="104"/>
      </w:pPr>
      <w:rPr>
        <w:rFonts w:hint="default"/>
        <w:lang w:val="en-US" w:eastAsia="en-US" w:bidi="ar-SA"/>
      </w:rPr>
    </w:lvl>
    <w:lvl w:ilvl="3" w:tplc="8FDEDAF8">
      <w:numFmt w:val="bullet"/>
      <w:lvlText w:val="•"/>
      <w:lvlJc w:val="left"/>
      <w:pPr>
        <w:ind w:left="1524" w:hanging="104"/>
      </w:pPr>
      <w:rPr>
        <w:rFonts w:hint="default"/>
        <w:lang w:val="en-US" w:eastAsia="en-US" w:bidi="ar-SA"/>
      </w:rPr>
    </w:lvl>
    <w:lvl w:ilvl="4" w:tplc="02CA422E">
      <w:numFmt w:val="bullet"/>
      <w:lvlText w:val="•"/>
      <w:lvlJc w:val="left"/>
      <w:pPr>
        <w:ind w:left="1992" w:hanging="104"/>
      </w:pPr>
      <w:rPr>
        <w:rFonts w:hint="default"/>
        <w:lang w:val="en-US" w:eastAsia="en-US" w:bidi="ar-SA"/>
      </w:rPr>
    </w:lvl>
    <w:lvl w:ilvl="5" w:tplc="34228BE4">
      <w:numFmt w:val="bullet"/>
      <w:lvlText w:val="•"/>
      <w:lvlJc w:val="left"/>
      <w:pPr>
        <w:ind w:left="2460" w:hanging="104"/>
      </w:pPr>
      <w:rPr>
        <w:rFonts w:hint="default"/>
        <w:lang w:val="en-US" w:eastAsia="en-US" w:bidi="ar-SA"/>
      </w:rPr>
    </w:lvl>
    <w:lvl w:ilvl="6" w:tplc="19E6D03A">
      <w:numFmt w:val="bullet"/>
      <w:lvlText w:val="•"/>
      <w:lvlJc w:val="left"/>
      <w:pPr>
        <w:ind w:left="2928" w:hanging="104"/>
      </w:pPr>
      <w:rPr>
        <w:rFonts w:hint="default"/>
        <w:lang w:val="en-US" w:eastAsia="en-US" w:bidi="ar-SA"/>
      </w:rPr>
    </w:lvl>
    <w:lvl w:ilvl="7" w:tplc="B91E32EA">
      <w:numFmt w:val="bullet"/>
      <w:lvlText w:val="•"/>
      <w:lvlJc w:val="left"/>
      <w:pPr>
        <w:ind w:left="3397" w:hanging="104"/>
      </w:pPr>
      <w:rPr>
        <w:rFonts w:hint="default"/>
        <w:lang w:val="en-US" w:eastAsia="en-US" w:bidi="ar-SA"/>
      </w:rPr>
    </w:lvl>
    <w:lvl w:ilvl="8" w:tplc="B204CB22">
      <w:numFmt w:val="bullet"/>
      <w:lvlText w:val="•"/>
      <w:lvlJc w:val="left"/>
      <w:pPr>
        <w:ind w:left="3865" w:hanging="104"/>
      </w:pPr>
      <w:rPr>
        <w:rFonts w:hint="default"/>
        <w:lang w:val="en-US" w:eastAsia="en-US" w:bidi="ar-SA"/>
      </w:rPr>
    </w:lvl>
  </w:abstractNum>
  <w:abstractNum w:abstractNumId="10" w15:restartNumberingAfterBreak="0">
    <w:nsid w:val="5115510B"/>
    <w:multiLevelType w:val="hybridMultilevel"/>
    <w:tmpl w:val="B694ECA0"/>
    <w:lvl w:ilvl="0" w:tplc="679EA3BC">
      <w:numFmt w:val="bullet"/>
      <w:lvlText w:val=""/>
      <w:lvlJc w:val="left"/>
      <w:pPr>
        <w:ind w:left="476" w:hanging="358"/>
      </w:pPr>
      <w:rPr>
        <w:rFonts w:ascii="Symbol" w:eastAsia="Symbol" w:hAnsi="Symbol" w:cs="Symbol" w:hint="default"/>
        <w:spacing w:val="0"/>
        <w:w w:val="100"/>
        <w:lang w:val="en-US" w:eastAsia="en-US" w:bidi="ar-SA"/>
      </w:rPr>
    </w:lvl>
    <w:lvl w:ilvl="1" w:tplc="E2580EFC">
      <w:numFmt w:val="bullet"/>
      <w:lvlText w:val="•"/>
      <w:lvlJc w:val="left"/>
      <w:pPr>
        <w:ind w:left="1394" w:hanging="358"/>
      </w:pPr>
      <w:rPr>
        <w:rFonts w:hint="default"/>
        <w:lang w:val="en-US" w:eastAsia="en-US" w:bidi="ar-SA"/>
      </w:rPr>
    </w:lvl>
    <w:lvl w:ilvl="2" w:tplc="550C16D6">
      <w:numFmt w:val="bullet"/>
      <w:lvlText w:val="•"/>
      <w:lvlJc w:val="left"/>
      <w:pPr>
        <w:ind w:left="2309" w:hanging="358"/>
      </w:pPr>
      <w:rPr>
        <w:rFonts w:hint="default"/>
        <w:lang w:val="en-US" w:eastAsia="en-US" w:bidi="ar-SA"/>
      </w:rPr>
    </w:lvl>
    <w:lvl w:ilvl="3" w:tplc="547A29D0">
      <w:numFmt w:val="bullet"/>
      <w:lvlText w:val="•"/>
      <w:lvlJc w:val="left"/>
      <w:pPr>
        <w:ind w:left="3224" w:hanging="358"/>
      </w:pPr>
      <w:rPr>
        <w:rFonts w:hint="default"/>
        <w:lang w:val="en-US" w:eastAsia="en-US" w:bidi="ar-SA"/>
      </w:rPr>
    </w:lvl>
    <w:lvl w:ilvl="4" w:tplc="683AD6A2">
      <w:numFmt w:val="bullet"/>
      <w:lvlText w:val="•"/>
      <w:lvlJc w:val="left"/>
      <w:pPr>
        <w:ind w:left="4139" w:hanging="358"/>
      </w:pPr>
      <w:rPr>
        <w:rFonts w:hint="default"/>
        <w:lang w:val="en-US" w:eastAsia="en-US" w:bidi="ar-SA"/>
      </w:rPr>
    </w:lvl>
    <w:lvl w:ilvl="5" w:tplc="8F482068">
      <w:numFmt w:val="bullet"/>
      <w:lvlText w:val="•"/>
      <w:lvlJc w:val="left"/>
      <w:pPr>
        <w:ind w:left="5054" w:hanging="358"/>
      </w:pPr>
      <w:rPr>
        <w:rFonts w:hint="default"/>
        <w:lang w:val="en-US" w:eastAsia="en-US" w:bidi="ar-SA"/>
      </w:rPr>
    </w:lvl>
    <w:lvl w:ilvl="6" w:tplc="7B88A528">
      <w:numFmt w:val="bullet"/>
      <w:lvlText w:val="•"/>
      <w:lvlJc w:val="left"/>
      <w:pPr>
        <w:ind w:left="5969" w:hanging="358"/>
      </w:pPr>
      <w:rPr>
        <w:rFonts w:hint="default"/>
        <w:lang w:val="en-US" w:eastAsia="en-US" w:bidi="ar-SA"/>
      </w:rPr>
    </w:lvl>
    <w:lvl w:ilvl="7" w:tplc="941A2802">
      <w:numFmt w:val="bullet"/>
      <w:lvlText w:val="•"/>
      <w:lvlJc w:val="left"/>
      <w:pPr>
        <w:ind w:left="6884" w:hanging="358"/>
      </w:pPr>
      <w:rPr>
        <w:rFonts w:hint="default"/>
        <w:lang w:val="en-US" w:eastAsia="en-US" w:bidi="ar-SA"/>
      </w:rPr>
    </w:lvl>
    <w:lvl w:ilvl="8" w:tplc="209EAB16">
      <w:numFmt w:val="bullet"/>
      <w:lvlText w:val="•"/>
      <w:lvlJc w:val="left"/>
      <w:pPr>
        <w:ind w:left="7799" w:hanging="358"/>
      </w:pPr>
      <w:rPr>
        <w:rFonts w:hint="default"/>
        <w:lang w:val="en-US" w:eastAsia="en-US" w:bidi="ar-SA"/>
      </w:rPr>
    </w:lvl>
  </w:abstractNum>
  <w:abstractNum w:abstractNumId="11" w15:restartNumberingAfterBreak="0">
    <w:nsid w:val="54674CE5"/>
    <w:multiLevelType w:val="hybridMultilevel"/>
    <w:tmpl w:val="6B60A318"/>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12" w15:restartNumberingAfterBreak="0">
    <w:nsid w:val="5AAF373F"/>
    <w:multiLevelType w:val="hybridMultilevel"/>
    <w:tmpl w:val="02FAA66C"/>
    <w:lvl w:ilvl="0" w:tplc="5B4849A0">
      <w:numFmt w:val="bullet"/>
      <w:lvlText w:val="-"/>
      <w:lvlJc w:val="left"/>
      <w:pPr>
        <w:ind w:left="478" w:hanging="360"/>
      </w:pPr>
      <w:rPr>
        <w:rFonts w:ascii="Arial" w:eastAsia="Arial" w:hAnsi="Arial" w:cs="Arial" w:hint="default"/>
      </w:rPr>
    </w:lvl>
    <w:lvl w:ilvl="1" w:tplc="041D0003" w:tentative="1">
      <w:start w:val="1"/>
      <w:numFmt w:val="bullet"/>
      <w:lvlText w:val="o"/>
      <w:lvlJc w:val="left"/>
      <w:pPr>
        <w:ind w:left="1198" w:hanging="360"/>
      </w:pPr>
      <w:rPr>
        <w:rFonts w:ascii="Courier New" w:hAnsi="Courier New" w:cs="Courier New" w:hint="default"/>
      </w:rPr>
    </w:lvl>
    <w:lvl w:ilvl="2" w:tplc="041D0005" w:tentative="1">
      <w:start w:val="1"/>
      <w:numFmt w:val="bullet"/>
      <w:lvlText w:val=""/>
      <w:lvlJc w:val="left"/>
      <w:pPr>
        <w:ind w:left="1918" w:hanging="360"/>
      </w:pPr>
      <w:rPr>
        <w:rFonts w:ascii="Wingdings" w:hAnsi="Wingdings" w:hint="default"/>
      </w:rPr>
    </w:lvl>
    <w:lvl w:ilvl="3" w:tplc="041D0001" w:tentative="1">
      <w:start w:val="1"/>
      <w:numFmt w:val="bullet"/>
      <w:lvlText w:val=""/>
      <w:lvlJc w:val="left"/>
      <w:pPr>
        <w:ind w:left="2638" w:hanging="360"/>
      </w:pPr>
      <w:rPr>
        <w:rFonts w:ascii="Symbol" w:hAnsi="Symbol" w:hint="default"/>
      </w:rPr>
    </w:lvl>
    <w:lvl w:ilvl="4" w:tplc="041D0003" w:tentative="1">
      <w:start w:val="1"/>
      <w:numFmt w:val="bullet"/>
      <w:lvlText w:val="o"/>
      <w:lvlJc w:val="left"/>
      <w:pPr>
        <w:ind w:left="3358" w:hanging="360"/>
      </w:pPr>
      <w:rPr>
        <w:rFonts w:ascii="Courier New" w:hAnsi="Courier New" w:cs="Courier New" w:hint="default"/>
      </w:rPr>
    </w:lvl>
    <w:lvl w:ilvl="5" w:tplc="041D0005" w:tentative="1">
      <w:start w:val="1"/>
      <w:numFmt w:val="bullet"/>
      <w:lvlText w:val=""/>
      <w:lvlJc w:val="left"/>
      <w:pPr>
        <w:ind w:left="4078" w:hanging="360"/>
      </w:pPr>
      <w:rPr>
        <w:rFonts w:ascii="Wingdings" w:hAnsi="Wingdings" w:hint="default"/>
      </w:rPr>
    </w:lvl>
    <w:lvl w:ilvl="6" w:tplc="041D0001" w:tentative="1">
      <w:start w:val="1"/>
      <w:numFmt w:val="bullet"/>
      <w:lvlText w:val=""/>
      <w:lvlJc w:val="left"/>
      <w:pPr>
        <w:ind w:left="4798" w:hanging="360"/>
      </w:pPr>
      <w:rPr>
        <w:rFonts w:ascii="Symbol" w:hAnsi="Symbol" w:hint="default"/>
      </w:rPr>
    </w:lvl>
    <w:lvl w:ilvl="7" w:tplc="041D0003" w:tentative="1">
      <w:start w:val="1"/>
      <w:numFmt w:val="bullet"/>
      <w:lvlText w:val="o"/>
      <w:lvlJc w:val="left"/>
      <w:pPr>
        <w:ind w:left="5518" w:hanging="360"/>
      </w:pPr>
      <w:rPr>
        <w:rFonts w:ascii="Courier New" w:hAnsi="Courier New" w:cs="Courier New" w:hint="default"/>
      </w:rPr>
    </w:lvl>
    <w:lvl w:ilvl="8" w:tplc="041D0005" w:tentative="1">
      <w:start w:val="1"/>
      <w:numFmt w:val="bullet"/>
      <w:lvlText w:val=""/>
      <w:lvlJc w:val="left"/>
      <w:pPr>
        <w:ind w:left="6238" w:hanging="360"/>
      </w:pPr>
      <w:rPr>
        <w:rFonts w:ascii="Wingdings" w:hAnsi="Wingdings" w:hint="default"/>
      </w:rPr>
    </w:lvl>
  </w:abstractNum>
  <w:abstractNum w:abstractNumId="13" w15:restartNumberingAfterBreak="0">
    <w:nsid w:val="5BA4704F"/>
    <w:multiLevelType w:val="hybridMultilevel"/>
    <w:tmpl w:val="A5EA94FC"/>
    <w:lvl w:ilvl="0" w:tplc="16B45218">
      <w:start w:val="1"/>
      <w:numFmt w:val="decimal"/>
      <w:lvlText w:val="%1)"/>
      <w:lvlJc w:val="left"/>
      <w:pPr>
        <w:ind w:left="1534" w:hanging="188"/>
      </w:pPr>
      <w:rPr>
        <w:rFonts w:ascii="Arial" w:eastAsia="Arial" w:hAnsi="Arial" w:cs="Arial" w:hint="default"/>
        <w:b w:val="0"/>
        <w:bCs w:val="0"/>
        <w:i/>
        <w:iCs/>
        <w:spacing w:val="-1"/>
        <w:w w:val="100"/>
        <w:sz w:val="16"/>
        <w:szCs w:val="16"/>
        <w:lang w:val="en-US" w:eastAsia="en-US" w:bidi="ar-SA"/>
      </w:rPr>
    </w:lvl>
    <w:lvl w:ilvl="1" w:tplc="FC12DB98">
      <w:numFmt w:val="bullet"/>
      <w:lvlText w:val="•"/>
      <w:lvlJc w:val="left"/>
      <w:pPr>
        <w:ind w:left="2348" w:hanging="188"/>
      </w:pPr>
      <w:rPr>
        <w:rFonts w:hint="default"/>
        <w:lang w:val="en-US" w:eastAsia="en-US" w:bidi="ar-SA"/>
      </w:rPr>
    </w:lvl>
    <w:lvl w:ilvl="2" w:tplc="E2CC5566">
      <w:numFmt w:val="bullet"/>
      <w:lvlText w:val="•"/>
      <w:lvlJc w:val="left"/>
      <w:pPr>
        <w:ind w:left="3157" w:hanging="188"/>
      </w:pPr>
      <w:rPr>
        <w:rFonts w:hint="default"/>
        <w:lang w:val="en-US" w:eastAsia="en-US" w:bidi="ar-SA"/>
      </w:rPr>
    </w:lvl>
    <w:lvl w:ilvl="3" w:tplc="84F63DF4">
      <w:numFmt w:val="bullet"/>
      <w:lvlText w:val="•"/>
      <w:lvlJc w:val="left"/>
      <w:pPr>
        <w:ind w:left="3966" w:hanging="188"/>
      </w:pPr>
      <w:rPr>
        <w:rFonts w:hint="default"/>
        <w:lang w:val="en-US" w:eastAsia="en-US" w:bidi="ar-SA"/>
      </w:rPr>
    </w:lvl>
    <w:lvl w:ilvl="4" w:tplc="273A30BA">
      <w:numFmt w:val="bullet"/>
      <w:lvlText w:val="•"/>
      <w:lvlJc w:val="left"/>
      <w:pPr>
        <w:ind w:left="4775" w:hanging="188"/>
      </w:pPr>
      <w:rPr>
        <w:rFonts w:hint="default"/>
        <w:lang w:val="en-US" w:eastAsia="en-US" w:bidi="ar-SA"/>
      </w:rPr>
    </w:lvl>
    <w:lvl w:ilvl="5" w:tplc="DE68C81C">
      <w:numFmt w:val="bullet"/>
      <w:lvlText w:val="•"/>
      <w:lvlJc w:val="left"/>
      <w:pPr>
        <w:ind w:left="5584" w:hanging="188"/>
      </w:pPr>
      <w:rPr>
        <w:rFonts w:hint="default"/>
        <w:lang w:val="en-US" w:eastAsia="en-US" w:bidi="ar-SA"/>
      </w:rPr>
    </w:lvl>
    <w:lvl w:ilvl="6" w:tplc="4F0C0366">
      <w:numFmt w:val="bullet"/>
      <w:lvlText w:val="•"/>
      <w:lvlJc w:val="left"/>
      <w:pPr>
        <w:ind w:left="6393" w:hanging="188"/>
      </w:pPr>
      <w:rPr>
        <w:rFonts w:hint="default"/>
        <w:lang w:val="en-US" w:eastAsia="en-US" w:bidi="ar-SA"/>
      </w:rPr>
    </w:lvl>
    <w:lvl w:ilvl="7" w:tplc="E1E244A8">
      <w:numFmt w:val="bullet"/>
      <w:lvlText w:val="•"/>
      <w:lvlJc w:val="left"/>
      <w:pPr>
        <w:ind w:left="7202" w:hanging="188"/>
      </w:pPr>
      <w:rPr>
        <w:rFonts w:hint="default"/>
        <w:lang w:val="en-US" w:eastAsia="en-US" w:bidi="ar-SA"/>
      </w:rPr>
    </w:lvl>
    <w:lvl w:ilvl="8" w:tplc="72A80776">
      <w:numFmt w:val="bullet"/>
      <w:lvlText w:val="•"/>
      <w:lvlJc w:val="left"/>
      <w:pPr>
        <w:ind w:left="8011" w:hanging="188"/>
      </w:pPr>
      <w:rPr>
        <w:rFonts w:hint="default"/>
        <w:lang w:val="en-US" w:eastAsia="en-US" w:bidi="ar-SA"/>
      </w:rPr>
    </w:lvl>
  </w:abstractNum>
  <w:abstractNum w:abstractNumId="14" w15:restartNumberingAfterBreak="0">
    <w:nsid w:val="66755733"/>
    <w:multiLevelType w:val="hybridMultilevel"/>
    <w:tmpl w:val="F3FC9974"/>
    <w:lvl w:ilvl="0" w:tplc="5FEEC056">
      <w:numFmt w:val="bullet"/>
      <w:lvlText w:val=""/>
      <w:lvlJc w:val="left"/>
      <w:pPr>
        <w:ind w:left="838" w:hanging="360"/>
      </w:pPr>
      <w:rPr>
        <w:rFonts w:ascii="Symbol" w:eastAsia="Symbol" w:hAnsi="Symbol" w:cs="Symbol" w:hint="default"/>
        <w:b w:val="0"/>
        <w:bCs w:val="0"/>
        <w:i w:val="0"/>
        <w:iCs w:val="0"/>
        <w:spacing w:val="0"/>
        <w:w w:val="100"/>
        <w:sz w:val="18"/>
        <w:szCs w:val="18"/>
        <w:lang w:val="en-US" w:eastAsia="en-US" w:bidi="ar-SA"/>
      </w:rPr>
    </w:lvl>
    <w:lvl w:ilvl="1" w:tplc="3AA2D088">
      <w:numFmt w:val="bullet"/>
      <w:lvlText w:val="•"/>
      <w:lvlJc w:val="left"/>
      <w:pPr>
        <w:ind w:left="1718" w:hanging="360"/>
      </w:pPr>
      <w:rPr>
        <w:rFonts w:hint="default"/>
        <w:lang w:val="en-US" w:eastAsia="en-US" w:bidi="ar-SA"/>
      </w:rPr>
    </w:lvl>
    <w:lvl w:ilvl="2" w:tplc="796EFE88">
      <w:numFmt w:val="bullet"/>
      <w:lvlText w:val="•"/>
      <w:lvlJc w:val="left"/>
      <w:pPr>
        <w:ind w:left="2597" w:hanging="360"/>
      </w:pPr>
      <w:rPr>
        <w:rFonts w:hint="default"/>
        <w:lang w:val="en-US" w:eastAsia="en-US" w:bidi="ar-SA"/>
      </w:rPr>
    </w:lvl>
    <w:lvl w:ilvl="3" w:tplc="45B498BC">
      <w:numFmt w:val="bullet"/>
      <w:lvlText w:val="•"/>
      <w:lvlJc w:val="left"/>
      <w:pPr>
        <w:ind w:left="3476" w:hanging="360"/>
      </w:pPr>
      <w:rPr>
        <w:rFonts w:hint="default"/>
        <w:lang w:val="en-US" w:eastAsia="en-US" w:bidi="ar-SA"/>
      </w:rPr>
    </w:lvl>
    <w:lvl w:ilvl="4" w:tplc="FC7A5A28">
      <w:numFmt w:val="bullet"/>
      <w:lvlText w:val="•"/>
      <w:lvlJc w:val="left"/>
      <w:pPr>
        <w:ind w:left="4355" w:hanging="360"/>
      </w:pPr>
      <w:rPr>
        <w:rFonts w:hint="default"/>
        <w:lang w:val="en-US" w:eastAsia="en-US" w:bidi="ar-SA"/>
      </w:rPr>
    </w:lvl>
    <w:lvl w:ilvl="5" w:tplc="371A5384">
      <w:numFmt w:val="bullet"/>
      <w:lvlText w:val="•"/>
      <w:lvlJc w:val="left"/>
      <w:pPr>
        <w:ind w:left="5234" w:hanging="360"/>
      </w:pPr>
      <w:rPr>
        <w:rFonts w:hint="default"/>
        <w:lang w:val="en-US" w:eastAsia="en-US" w:bidi="ar-SA"/>
      </w:rPr>
    </w:lvl>
    <w:lvl w:ilvl="6" w:tplc="4A9CB06E">
      <w:numFmt w:val="bullet"/>
      <w:lvlText w:val="•"/>
      <w:lvlJc w:val="left"/>
      <w:pPr>
        <w:ind w:left="6113" w:hanging="360"/>
      </w:pPr>
      <w:rPr>
        <w:rFonts w:hint="default"/>
        <w:lang w:val="en-US" w:eastAsia="en-US" w:bidi="ar-SA"/>
      </w:rPr>
    </w:lvl>
    <w:lvl w:ilvl="7" w:tplc="020E4976">
      <w:numFmt w:val="bullet"/>
      <w:lvlText w:val="•"/>
      <w:lvlJc w:val="left"/>
      <w:pPr>
        <w:ind w:left="6992" w:hanging="360"/>
      </w:pPr>
      <w:rPr>
        <w:rFonts w:hint="default"/>
        <w:lang w:val="en-US" w:eastAsia="en-US" w:bidi="ar-SA"/>
      </w:rPr>
    </w:lvl>
    <w:lvl w:ilvl="8" w:tplc="85C69A82">
      <w:numFmt w:val="bullet"/>
      <w:lvlText w:val="•"/>
      <w:lvlJc w:val="left"/>
      <w:pPr>
        <w:ind w:left="7871" w:hanging="360"/>
      </w:pPr>
      <w:rPr>
        <w:rFonts w:hint="default"/>
        <w:lang w:val="en-US" w:eastAsia="en-US" w:bidi="ar-SA"/>
      </w:rPr>
    </w:lvl>
  </w:abstractNum>
  <w:abstractNum w:abstractNumId="15" w15:restartNumberingAfterBreak="0">
    <w:nsid w:val="6F50123E"/>
    <w:multiLevelType w:val="hybridMultilevel"/>
    <w:tmpl w:val="355A4A64"/>
    <w:lvl w:ilvl="0" w:tplc="76D0A6A8">
      <w:start w:val="1"/>
      <w:numFmt w:val="decimal"/>
      <w:lvlText w:val="%1)"/>
      <w:lvlJc w:val="left"/>
      <w:pPr>
        <w:ind w:left="118" w:hanging="212"/>
      </w:pPr>
      <w:rPr>
        <w:rFonts w:ascii="Arial" w:eastAsia="Arial" w:hAnsi="Arial" w:cs="Arial" w:hint="default"/>
        <w:b w:val="0"/>
        <w:bCs w:val="0"/>
        <w:i w:val="0"/>
        <w:iCs w:val="0"/>
        <w:spacing w:val="0"/>
        <w:w w:val="99"/>
        <w:sz w:val="18"/>
        <w:szCs w:val="18"/>
        <w:lang w:val="en-US" w:eastAsia="en-US" w:bidi="ar-SA"/>
      </w:rPr>
    </w:lvl>
    <w:lvl w:ilvl="1" w:tplc="F156F2D8">
      <w:numFmt w:val="bullet"/>
      <w:lvlText w:val="•"/>
      <w:lvlJc w:val="left"/>
      <w:pPr>
        <w:ind w:left="1070" w:hanging="212"/>
      </w:pPr>
      <w:rPr>
        <w:rFonts w:hint="default"/>
        <w:lang w:val="en-US" w:eastAsia="en-US" w:bidi="ar-SA"/>
      </w:rPr>
    </w:lvl>
    <w:lvl w:ilvl="2" w:tplc="EAEAC430">
      <w:numFmt w:val="bullet"/>
      <w:lvlText w:val="•"/>
      <w:lvlJc w:val="left"/>
      <w:pPr>
        <w:ind w:left="2021" w:hanging="212"/>
      </w:pPr>
      <w:rPr>
        <w:rFonts w:hint="default"/>
        <w:lang w:val="en-US" w:eastAsia="en-US" w:bidi="ar-SA"/>
      </w:rPr>
    </w:lvl>
    <w:lvl w:ilvl="3" w:tplc="FAC4BED0">
      <w:numFmt w:val="bullet"/>
      <w:lvlText w:val="•"/>
      <w:lvlJc w:val="left"/>
      <w:pPr>
        <w:ind w:left="2972" w:hanging="212"/>
      </w:pPr>
      <w:rPr>
        <w:rFonts w:hint="default"/>
        <w:lang w:val="en-US" w:eastAsia="en-US" w:bidi="ar-SA"/>
      </w:rPr>
    </w:lvl>
    <w:lvl w:ilvl="4" w:tplc="B3682BF2">
      <w:numFmt w:val="bullet"/>
      <w:lvlText w:val="•"/>
      <w:lvlJc w:val="left"/>
      <w:pPr>
        <w:ind w:left="3923" w:hanging="212"/>
      </w:pPr>
      <w:rPr>
        <w:rFonts w:hint="default"/>
        <w:lang w:val="en-US" w:eastAsia="en-US" w:bidi="ar-SA"/>
      </w:rPr>
    </w:lvl>
    <w:lvl w:ilvl="5" w:tplc="6C3A715E">
      <w:numFmt w:val="bullet"/>
      <w:lvlText w:val="•"/>
      <w:lvlJc w:val="left"/>
      <w:pPr>
        <w:ind w:left="4874" w:hanging="212"/>
      </w:pPr>
      <w:rPr>
        <w:rFonts w:hint="default"/>
        <w:lang w:val="en-US" w:eastAsia="en-US" w:bidi="ar-SA"/>
      </w:rPr>
    </w:lvl>
    <w:lvl w:ilvl="6" w:tplc="A816C1E2">
      <w:numFmt w:val="bullet"/>
      <w:lvlText w:val="•"/>
      <w:lvlJc w:val="left"/>
      <w:pPr>
        <w:ind w:left="5825" w:hanging="212"/>
      </w:pPr>
      <w:rPr>
        <w:rFonts w:hint="default"/>
        <w:lang w:val="en-US" w:eastAsia="en-US" w:bidi="ar-SA"/>
      </w:rPr>
    </w:lvl>
    <w:lvl w:ilvl="7" w:tplc="71926D94">
      <w:numFmt w:val="bullet"/>
      <w:lvlText w:val="•"/>
      <w:lvlJc w:val="left"/>
      <w:pPr>
        <w:ind w:left="6776" w:hanging="212"/>
      </w:pPr>
      <w:rPr>
        <w:rFonts w:hint="default"/>
        <w:lang w:val="en-US" w:eastAsia="en-US" w:bidi="ar-SA"/>
      </w:rPr>
    </w:lvl>
    <w:lvl w:ilvl="8" w:tplc="35488372">
      <w:numFmt w:val="bullet"/>
      <w:lvlText w:val="•"/>
      <w:lvlJc w:val="left"/>
      <w:pPr>
        <w:ind w:left="7727" w:hanging="212"/>
      </w:pPr>
      <w:rPr>
        <w:rFonts w:hint="default"/>
        <w:lang w:val="en-US" w:eastAsia="en-US" w:bidi="ar-SA"/>
      </w:rPr>
    </w:lvl>
  </w:abstractNum>
  <w:abstractNum w:abstractNumId="16" w15:restartNumberingAfterBreak="0">
    <w:nsid w:val="6FBB3AE9"/>
    <w:multiLevelType w:val="hybridMultilevel"/>
    <w:tmpl w:val="1C949D22"/>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17" w15:restartNumberingAfterBreak="0">
    <w:nsid w:val="6FCF14DE"/>
    <w:multiLevelType w:val="hybridMultilevel"/>
    <w:tmpl w:val="8DA80E9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26E44FA"/>
    <w:multiLevelType w:val="hybridMultilevel"/>
    <w:tmpl w:val="06903F7A"/>
    <w:lvl w:ilvl="0" w:tplc="041D0001">
      <w:start w:val="1"/>
      <w:numFmt w:val="bullet"/>
      <w:lvlText w:val=""/>
      <w:lvlJc w:val="left"/>
      <w:pPr>
        <w:ind w:left="885" w:hanging="360"/>
      </w:pPr>
      <w:rPr>
        <w:rFonts w:ascii="Symbol" w:hAnsi="Symbol" w:hint="default"/>
      </w:rPr>
    </w:lvl>
    <w:lvl w:ilvl="1" w:tplc="17104924">
      <w:numFmt w:val="bullet"/>
      <w:lvlText w:val="-"/>
      <w:lvlJc w:val="left"/>
      <w:pPr>
        <w:ind w:left="1605" w:hanging="360"/>
      </w:pPr>
      <w:rPr>
        <w:rFonts w:ascii="Arial" w:eastAsia="Arial" w:hAnsi="Arial" w:cs="Arial"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19" w15:restartNumberingAfterBreak="0">
    <w:nsid w:val="79AA48BC"/>
    <w:multiLevelType w:val="hybridMultilevel"/>
    <w:tmpl w:val="15C0B518"/>
    <w:lvl w:ilvl="0" w:tplc="013EFE10">
      <w:numFmt w:val="bullet"/>
      <w:lvlText w:val="•"/>
      <w:lvlJc w:val="left"/>
      <w:pPr>
        <w:ind w:left="231" w:hanging="113"/>
      </w:pPr>
      <w:rPr>
        <w:rFonts w:ascii="Arial" w:eastAsia="Arial" w:hAnsi="Arial" w:cs="Arial" w:hint="default"/>
        <w:b w:val="0"/>
        <w:bCs w:val="0"/>
        <w:i w:val="0"/>
        <w:iCs w:val="0"/>
        <w:spacing w:val="0"/>
        <w:w w:val="100"/>
        <w:sz w:val="18"/>
        <w:szCs w:val="18"/>
        <w:lang w:val="en-US" w:eastAsia="en-US" w:bidi="ar-SA"/>
      </w:rPr>
    </w:lvl>
    <w:lvl w:ilvl="1" w:tplc="38D6FBE4">
      <w:numFmt w:val="bullet"/>
      <w:lvlText w:val="•"/>
      <w:lvlJc w:val="left"/>
      <w:pPr>
        <w:ind w:left="1178" w:hanging="113"/>
      </w:pPr>
      <w:rPr>
        <w:rFonts w:hint="default"/>
        <w:lang w:val="en-US" w:eastAsia="en-US" w:bidi="ar-SA"/>
      </w:rPr>
    </w:lvl>
    <w:lvl w:ilvl="2" w:tplc="E932B3A0">
      <w:numFmt w:val="bullet"/>
      <w:lvlText w:val="•"/>
      <w:lvlJc w:val="left"/>
      <w:pPr>
        <w:ind w:left="2117" w:hanging="113"/>
      </w:pPr>
      <w:rPr>
        <w:rFonts w:hint="default"/>
        <w:lang w:val="en-US" w:eastAsia="en-US" w:bidi="ar-SA"/>
      </w:rPr>
    </w:lvl>
    <w:lvl w:ilvl="3" w:tplc="95CACC5A">
      <w:numFmt w:val="bullet"/>
      <w:lvlText w:val="•"/>
      <w:lvlJc w:val="left"/>
      <w:pPr>
        <w:ind w:left="3056" w:hanging="113"/>
      </w:pPr>
      <w:rPr>
        <w:rFonts w:hint="default"/>
        <w:lang w:val="en-US" w:eastAsia="en-US" w:bidi="ar-SA"/>
      </w:rPr>
    </w:lvl>
    <w:lvl w:ilvl="4" w:tplc="48AC63B6">
      <w:numFmt w:val="bullet"/>
      <w:lvlText w:val="•"/>
      <w:lvlJc w:val="left"/>
      <w:pPr>
        <w:ind w:left="3995" w:hanging="113"/>
      </w:pPr>
      <w:rPr>
        <w:rFonts w:hint="default"/>
        <w:lang w:val="en-US" w:eastAsia="en-US" w:bidi="ar-SA"/>
      </w:rPr>
    </w:lvl>
    <w:lvl w:ilvl="5" w:tplc="B97AF5CA">
      <w:numFmt w:val="bullet"/>
      <w:lvlText w:val="•"/>
      <w:lvlJc w:val="left"/>
      <w:pPr>
        <w:ind w:left="4934" w:hanging="113"/>
      </w:pPr>
      <w:rPr>
        <w:rFonts w:hint="default"/>
        <w:lang w:val="en-US" w:eastAsia="en-US" w:bidi="ar-SA"/>
      </w:rPr>
    </w:lvl>
    <w:lvl w:ilvl="6" w:tplc="DBE8107A">
      <w:numFmt w:val="bullet"/>
      <w:lvlText w:val="•"/>
      <w:lvlJc w:val="left"/>
      <w:pPr>
        <w:ind w:left="5873" w:hanging="113"/>
      </w:pPr>
      <w:rPr>
        <w:rFonts w:hint="default"/>
        <w:lang w:val="en-US" w:eastAsia="en-US" w:bidi="ar-SA"/>
      </w:rPr>
    </w:lvl>
    <w:lvl w:ilvl="7" w:tplc="9C76ECC2">
      <w:numFmt w:val="bullet"/>
      <w:lvlText w:val="•"/>
      <w:lvlJc w:val="left"/>
      <w:pPr>
        <w:ind w:left="6812" w:hanging="113"/>
      </w:pPr>
      <w:rPr>
        <w:rFonts w:hint="default"/>
        <w:lang w:val="en-US" w:eastAsia="en-US" w:bidi="ar-SA"/>
      </w:rPr>
    </w:lvl>
    <w:lvl w:ilvl="8" w:tplc="6AAA7C74">
      <w:numFmt w:val="bullet"/>
      <w:lvlText w:val="•"/>
      <w:lvlJc w:val="left"/>
      <w:pPr>
        <w:ind w:left="7751" w:hanging="113"/>
      </w:pPr>
      <w:rPr>
        <w:rFonts w:hint="default"/>
        <w:lang w:val="en-US" w:eastAsia="en-US" w:bidi="ar-SA"/>
      </w:rPr>
    </w:lvl>
  </w:abstractNum>
  <w:abstractNum w:abstractNumId="20" w15:restartNumberingAfterBreak="0">
    <w:nsid w:val="7C4370C1"/>
    <w:multiLevelType w:val="hybridMultilevel"/>
    <w:tmpl w:val="17A0BF14"/>
    <w:lvl w:ilvl="0" w:tplc="6AF80A30">
      <w:numFmt w:val="bullet"/>
      <w:lvlText w:val="-"/>
      <w:lvlJc w:val="left"/>
      <w:pPr>
        <w:ind w:left="478" w:hanging="360"/>
      </w:pPr>
      <w:rPr>
        <w:rFonts w:ascii="Arial" w:eastAsia="Arial" w:hAnsi="Arial" w:cs="Arial" w:hint="default"/>
      </w:rPr>
    </w:lvl>
    <w:lvl w:ilvl="1" w:tplc="041D0003" w:tentative="1">
      <w:start w:val="1"/>
      <w:numFmt w:val="bullet"/>
      <w:lvlText w:val="o"/>
      <w:lvlJc w:val="left"/>
      <w:pPr>
        <w:ind w:left="1198" w:hanging="360"/>
      </w:pPr>
      <w:rPr>
        <w:rFonts w:ascii="Courier New" w:hAnsi="Courier New" w:cs="Courier New" w:hint="default"/>
      </w:rPr>
    </w:lvl>
    <w:lvl w:ilvl="2" w:tplc="041D0005" w:tentative="1">
      <w:start w:val="1"/>
      <w:numFmt w:val="bullet"/>
      <w:lvlText w:val=""/>
      <w:lvlJc w:val="left"/>
      <w:pPr>
        <w:ind w:left="1918" w:hanging="360"/>
      </w:pPr>
      <w:rPr>
        <w:rFonts w:ascii="Wingdings" w:hAnsi="Wingdings" w:hint="default"/>
      </w:rPr>
    </w:lvl>
    <w:lvl w:ilvl="3" w:tplc="041D0001" w:tentative="1">
      <w:start w:val="1"/>
      <w:numFmt w:val="bullet"/>
      <w:lvlText w:val=""/>
      <w:lvlJc w:val="left"/>
      <w:pPr>
        <w:ind w:left="2638" w:hanging="360"/>
      </w:pPr>
      <w:rPr>
        <w:rFonts w:ascii="Symbol" w:hAnsi="Symbol" w:hint="default"/>
      </w:rPr>
    </w:lvl>
    <w:lvl w:ilvl="4" w:tplc="041D0003" w:tentative="1">
      <w:start w:val="1"/>
      <w:numFmt w:val="bullet"/>
      <w:lvlText w:val="o"/>
      <w:lvlJc w:val="left"/>
      <w:pPr>
        <w:ind w:left="3358" w:hanging="360"/>
      </w:pPr>
      <w:rPr>
        <w:rFonts w:ascii="Courier New" w:hAnsi="Courier New" w:cs="Courier New" w:hint="default"/>
      </w:rPr>
    </w:lvl>
    <w:lvl w:ilvl="5" w:tplc="041D0005" w:tentative="1">
      <w:start w:val="1"/>
      <w:numFmt w:val="bullet"/>
      <w:lvlText w:val=""/>
      <w:lvlJc w:val="left"/>
      <w:pPr>
        <w:ind w:left="4078" w:hanging="360"/>
      </w:pPr>
      <w:rPr>
        <w:rFonts w:ascii="Wingdings" w:hAnsi="Wingdings" w:hint="default"/>
      </w:rPr>
    </w:lvl>
    <w:lvl w:ilvl="6" w:tplc="041D0001" w:tentative="1">
      <w:start w:val="1"/>
      <w:numFmt w:val="bullet"/>
      <w:lvlText w:val=""/>
      <w:lvlJc w:val="left"/>
      <w:pPr>
        <w:ind w:left="4798" w:hanging="360"/>
      </w:pPr>
      <w:rPr>
        <w:rFonts w:ascii="Symbol" w:hAnsi="Symbol" w:hint="default"/>
      </w:rPr>
    </w:lvl>
    <w:lvl w:ilvl="7" w:tplc="041D0003" w:tentative="1">
      <w:start w:val="1"/>
      <w:numFmt w:val="bullet"/>
      <w:lvlText w:val="o"/>
      <w:lvlJc w:val="left"/>
      <w:pPr>
        <w:ind w:left="5518" w:hanging="360"/>
      </w:pPr>
      <w:rPr>
        <w:rFonts w:ascii="Courier New" w:hAnsi="Courier New" w:cs="Courier New" w:hint="default"/>
      </w:rPr>
    </w:lvl>
    <w:lvl w:ilvl="8" w:tplc="041D0005" w:tentative="1">
      <w:start w:val="1"/>
      <w:numFmt w:val="bullet"/>
      <w:lvlText w:val=""/>
      <w:lvlJc w:val="left"/>
      <w:pPr>
        <w:ind w:left="6238" w:hanging="360"/>
      </w:pPr>
      <w:rPr>
        <w:rFonts w:ascii="Wingdings" w:hAnsi="Wingdings" w:hint="default"/>
      </w:rPr>
    </w:lvl>
  </w:abstractNum>
  <w:abstractNum w:abstractNumId="21" w15:restartNumberingAfterBreak="0">
    <w:nsid w:val="7CC015F2"/>
    <w:multiLevelType w:val="hybridMultilevel"/>
    <w:tmpl w:val="6D0AB0E4"/>
    <w:lvl w:ilvl="0" w:tplc="5D585828">
      <w:numFmt w:val="bullet"/>
      <w:lvlText w:val=""/>
      <w:lvlJc w:val="left"/>
      <w:pPr>
        <w:ind w:left="478" w:hanging="360"/>
      </w:pPr>
      <w:rPr>
        <w:rFonts w:ascii="Wingdings" w:eastAsia="Arial" w:hAnsi="Wingdings" w:cs="Arial" w:hint="default"/>
      </w:rPr>
    </w:lvl>
    <w:lvl w:ilvl="1" w:tplc="20000003" w:tentative="1">
      <w:start w:val="1"/>
      <w:numFmt w:val="bullet"/>
      <w:lvlText w:val="o"/>
      <w:lvlJc w:val="left"/>
      <w:pPr>
        <w:ind w:left="1198" w:hanging="360"/>
      </w:pPr>
      <w:rPr>
        <w:rFonts w:ascii="Courier New" w:hAnsi="Courier New" w:cs="Courier New" w:hint="default"/>
      </w:rPr>
    </w:lvl>
    <w:lvl w:ilvl="2" w:tplc="20000005" w:tentative="1">
      <w:start w:val="1"/>
      <w:numFmt w:val="bullet"/>
      <w:lvlText w:val=""/>
      <w:lvlJc w:val="left"/>
      <w:pPr>
        <w:ind w:left="1918" w:hanging="360"/>
      </w:pPr>
      <w:rPr>
        <w:rFonts w:ascii="Wingdings" w:hAnsi="Wingdings" w:hint="default"/>
      </w:rPr>
    </w:lvl>
    <w:lvl w:ilvl="3" w:tplc="20000001" w:tentative="1">
      <w:start w:val="1"/>
      <w:numFmt w:val="bullet"/>
      <w:lvlText w:val=""/>
      <w:lvlJc w:val="left"/>
      <w:pPr>
        <w:ind w:left="2638" w:hanging="360"/>
      </w:pPr>
      <w:rPr>
        <w:rFonts w:ascii="Symbol" w:hAnsi="Symbol" w:hint="default"/>
      </w:rPr>
    </w:lvl>
    <w:lvl w:ilvl="4" w:tplc="20000003" w:tentative="1">
      <w:start w:val="1"/>
      <w:numFmt w:val="bullet"/>
      <w:lvlText w:val="o"/>
      <w:lvlJc w:val="left"/>
      <w:pPr>
        <w:ind w:left="3358" w:hanging="360"/>
      </w:pPr>
      <w:rPr>
        <w:rFonts w:ascii="Courier New" w:hAnsi="Courier New" w:cs="Courier New" w:hint="default"/>
      </w:rPr>
    </w:lvl>
    <w:lvl w:ilvl="5" w:tplc="20000005" w:tentative="1">
      <w:start w:val="1"/>
      <w:numFmt w:val="bullet"/>
      <w:lvlText w:val=""/>
      <w:lvlJc w:val="left"/>
      <w:pPr>
        <w:ind w:left="4078" w:hanging="360"/>
      </w:pPr>
      <w:rPr>
        <w:rFonts w:ascii="Wingdings" w:hAnsi="Wingdings" w:hint="default"/>
      </w:rPr>
    </w:lvl>
    <w:lvl w:ilvl="6" w:tplc="20000001" w:tentative="1">
      <w:start w:val="1"/>
      <w:numFmt w:val="bullet"/>
      <w:lvlText w:val=""/>
      <w:lvlJc w:val="left"/>
      <w:pPr>
        <w:ind w:left="4798" w:hanging="360"/>
      </w:pPr>
      <w:rPr>
        <w:rFonts w:ascii="Symbol" w:hAnsi="Symbol" w:hint="default"/>
      </w:rPr>
    </w:lvl>
    <w:lvl w:ilvl="7" w:tplc="20000003" w:tentative="1">
      <w:start w:val="1"/>
      <w:numFmt w:val="bullet"/>
      <w:lvlText w:val="o"/>
      <w:lvlJc w:val="left"/>
      <w:pPr>
        <w:ind w:left="5518" w:hanging="360"/>
      </w:pPr>
      <w:rPr>
        <w:rFonts w:ascii="Courier New" w:hAnsi="Courier New" w:cs="Courier New" w:hint="default"/>
      </w:rPr>
    </w:lvl>
    <w:lvl w:ilvl="8" w:tplc="20000005" w:tentative="1">
      <w:start w:val="1"/>
      <w:numFmt w:val="bullet"/>
      <w:lvlText w:val=""/>
      <w:lvlJc w:val="left"/>
      <w:pPr>
        <w:ind w:left="6238" w:hanging="360"/>
      </w:pPr>
      <w:rPr>
        <w:rFonts w:ascii="Wingdings" w:hAnsi="Wingdings" w:hint="default"/>
      </w:rPr>
    </w:lvl>
  </w:abstractNum>
  <w:num w:numId="1" w16cid:durableId="1590964873">
    <w:abstractNumId w:val="0"/>
  </w:num>
  <w:num w:numId="2" w16cid:durableId="1352220328">
    <w:abstractNumId w:val="9"/>
  </w:num>
  <w:num w:numId="3" w16cid:durableId="1980263134">
    <w:abstractNumId w:val="3"/>
  </w:num>
  <w:num w:numId="4" w16cid:durableId="1631740715">
    <w:abstractNumId w:val="15"/>
  </w:num>
  <w:num w:numId="5" w16cid:durableId="739912111">
    <w:abstractNumId w:val="19"/>
  </w:num>
  <w:num w:numId="6" w16cid:durableId="1800566261">
    <w:abstractNumId w:val="8"/>
  </w:num>
  <w:num w:numId="7" w16cid:durableId="831796767">
    <w:abstractNumId w:val="10"/>
  </w:num>
  <w:num w:numId="8" w16cid:durableId="914048521">
    <w:abstractNumId w:val="4"/>
  </w:num>
  <w:num w:numId="9" w16cid:durableId="1333944759">
    <w:abstractNumId w:val="14"/>
  </w:num>
  <w:num w:numId="10" w16cid:durableId="727190130">
    <w:abstractNumId w:val="13"/>
  </w:num>
  <w:num w:numId="11" w16cid:durableId="666132370">
    <w:abstractNumId w:val="21"/>
  </w:num>
  <w:num w:numId="12" w16cid:durableId="1738168011">
    <w:abstractNumId w:val="17"/>
  </w:num>
  <w:num w:numId="13" w16cid:durableId="1193961701">
    <w:abstractNumId w:val="11"/>
  </w:num>
  <w:num w:numId="14" w16cid:durableId="240482456">
    <w:abstractNumId w:val="5"/>
  </w:num>
  <w:num w:numId="15" w16cid:durableId="1100293710">
    <w:abstractNumId w:val="6"/>
  </w:num>
  <w:num w:numId="16" w16cid:durableId="1024481371">
    <w:abstractNumId w:val="16"/>
  </w:num>
  <w:num w:numId="17" w16cid:durableId="129834165">
    <w:abstractNumId w:val="7"/>
  </w:num>
  <w:num w:numId="18" w16cid:durableId="1560439824">
    <w:abstractNumId w:val="18"/>
  </w:num>
  <w:num w:numId="19" w16cid:durableId="318508542">
    <w:abstractNumId w:val="1"/>
  </w:num>
  <w:num w:numId="20" w16cid:durableId="657729899">
    <w:abstractNumId w:val="20"/>
  </w:num>
  <w:num w:numId="21" w16cid:durableId="284851545">
    <w:abstractNumId w:val="2"/>
  </w:num>
  <w:num w:numId="22" w16cid:durableId="633952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87DAC"/>
    <w:rsid w:val="000001A5"/>
    <w:rsid w:val="000013E0"/>
    <w:rsid w:val="00003ACE"/>
    <w:rsid w:val="00003FA8"/>
    <w:rsid w:val="00012BD3"/>
    <w:rsid w:val="00015EA7"/>
    <w:rsid w:val="00016512"/>
    <w:rsid w:val="00016A68"/>
    <w:rsid w:val="00016B4C"/>
    <w:rsid w:val="000175D8"/>
    <w:rsid w:val="000201A3"/>
    <w:rsid w:val="00020DB4"/>
    <w:rsid w:val="000214D1"/>
    <w:rsid w:val="00022B37"/>
    <w:rsid w:val="00026030"/>
    <w:rsid w:val="00031DAB"/>
    <w:rsid w:val="00032728"/>
    <w:rsid w:val="0004285D"/>
    <w:rsid w:val="0004529F"/>
    <w:rsid w:val="000457AE"/>
    <w:rsid w:val="00050052"/>
    <w:rsid w:val="00053794"/>
    <w:rsid w:val="00055219"/>
    <w:rsid w:val="0005577C"/>
    <w:rsid w:val="0005743A"/>
    <w:rsid w:val="00065E67"/>
    <w:rsid w:val="00066ADB"/>
    <w:rsid w:val="00066F7B"/>
    <w:rsid w:val="000678A6"/>
    <w:rsid w:val="00070B90"/>
    <w:rsid w:val="00070CD3"/>
    <w:rsid w:val="000721BA"/>
    <w:rsid w:val="0007235B"/>
    <w:rsid w:val="00072D03"/>
    <w:rsid w:val="000738C5"/>
    <w:rsid w:val="00074011"/>
    <w:rsid w:val="000744DC"/>
    <w:rsid w:val="00075086"/>
    <w:rsid w:val="00081005"/>
    <w:rsid w:val="00083235"/>
    <w:rsid w:val="000850A4"/>
    <w:rsid w:val="00086097"/>
    <w:rsid w:val="000870B7"/>
    <w:rsid w:val="0009662D"/>
    <w:rsid w:val="00096FD4"/>
    <w:rsid w:val="00097B85"/>
    <w:rsid w:val="000A045D"/>
    <w:rsid w:val="000A0BB3"/>
    <w:rsid w:val="000A0F56"/>
    <w:rsid w:val="000A2479"/>
    <w:rsid w:val="000B0957"/>
    <w:rsid w:val="000B0C6B"/>
    <w:rsid w:val="000B1EB2"/>
    <w:rsid w:val="000B2DDB"/>
    <w:rsid w:val="000C0A6B"/>
    <w:rsid w:val="000C5CCA"/>
    <w:rsid w:val="000D1340"/>
    <w:rsid w:val="000D25FE"/>
    <w:rsid w:val="000D3CDF"/>
    <w:rsid w:val="000D4493"/>
    <w:rsid w:val="000D51E7"/>
    <w:rsid w:val="000D7766"/>
    <w:rsid w:val="000E3462"/>
    <w:rsid w:val="000E5798"/>
    <w:rsid w:val="000F08E6"/>
    <w:rsid w:val="000F1D4A"/>
    <w:rsid w:val="000F3958"/>
    <w:rsid w:val="000F6847"/>
    <w:rsid w:val="001014D6"/>
    <w:rsid w:val="0010487F"/>
    <w:rsid w:val="001132DD"/>
    <w:rsid w:val="001161CD"/>
    <w:rsid w:val="00121501"/>
    <w:rsid w:val="00121F29"/>
    <w:rsid w:val="0012404A"/>
    <w:rsid w:val="00125D13"/>
    <w:rsid w:val="00127937"/>
    <w:rsid w:val="00130421"/>
    <w:rsid w:val="001304E4"/>
    <w:rsid w:val="00131EFA"/>
    <w:rsid w:val="0013536C"/>
    <w:rsid w:val="001359BC"/>
    <w:rsid w:val="001379A6"/>
    <w:rsid w:val="00142518"/>
    <w:rsid w:val="00155F26"/>
    <w:rsid w:val="00156705"/>
    <w:rsid w:val="00160619"/>
    <w:rsid w:val="00160A8E"/>
    <w:rsid w:val="001644A8"/>
    <w:rsid w:val="00165873"/>
    <w:rsid w:val="00173D3E"/>
    <w:rsid w:val="00173EBD"/>
    <w:rsid w:val="001745C8"/>
    <w:rsid w:val="00174649"/>
    <w:rsid w:val="00185BE1"/>
    <w:rsid w:val="00190466"/>
    <w:rsid w:val="00191F6C"/>
    <w:rsid w:val="0019211D"/>
    <w:rsid w:val="001934D8"/>
    <w:rsid w:val="00194D52"/>
    <w:rsid w:val="001A00E6"/>
    <w:rsid w:val="001A218F"/>
    <w:rsid w:val="001A2D56"/>
    <w:rsid w:val="001B075C"/>
    <w:rsid w:val="001B3D21"/>
    <w:rsid w:val="001B3D61"/>
    <w:rsid w:val="001B50B9"/>
    <w:rsid w:val="001B63BC"/>
    <w:rsid w:val="001C1D97"/>
    <w:rsid w:val="001C2B1C"/>
    <w:rsid w:val="001C31FE"/>
    <w:rsid w:val="001C6744"/>
    <w:rsid w:val="001C7F9C"/>
    <w:rsid w:val="001D3E1C"/>
    <w:rsid w:val="001E17B4"/>
    <w:rsid w:val="001E1D15"/>
    <w:rsid w:val="001E228D"/>
    <w:rsid w:val="001E3544"/>
    <w:rsid w:val="001E5896"/>
    <w:rsid w:val="001F071E"/>
    <w:rsid w:val="001F17DA"/>
    <w:rsid w:val="001F318B"/>
    <w:rsid w:val="001F4B51"/>
    <w:rsid w:val="002001D4"/>
    <w:rsid w:val="002019ED"/>
    <w:rsid w:val="00202CDC"/>
    <w:rsid w:val="00204554"/>
    <w:rsid w:val="00206E28"/>
    <w:rsid w:val="002112B6"/>
    <w:rsid w:val="00214622"/>
    <w:rsid w:val="00214E54"/>
    <w:rsid w:val="002156C7"/>
    <w:rsid w:val="00217226"/>
    <w:rsid w:val="002200DA"/>
    <w:rsid w:val="00223C98"/>
    <w:rsid w:val="00224AC8"/>
    <w:rsid w:val="002277E7"/>
    <w:rsid w:val="0023337C"/>
    <w:rsid w:val="002362E4"/>
    <w:rsid w:val="0024065E"/>
    <w:rsid w:val="002419C9"/>
    <w:rsid w:val="00242880"/>
    <w:rsid w:val="00244C12"/>
    <w:rsid w:val="00244D8F"/>
    <w:rsid w:val="00246D66"/>
    <w:rsid w:val="0025079E"/>
    <w:rsid w:val="002535F7"/>
    <w:rsid w:val="00254A5D"/>
    <w:rsid w:val="00263C59"/>
    <w:rsid w:val="00265F25"/>
    <w:rsid w:val="00275018"/>
    <w:rsid w:val="00275C51"/>
    <w:rsid w:val="00280562"/>
    <w:rsid w:val="00280D80"/>
    <w:rsid w:val="00285A40"/>
    <w:rsid w:val="0028609A"/>
    <w:rsid w:val="00290335"/>
    <w:rsid w:val="002975B8"/>
    <w:rsid w:val="0029789E"/>
    <w:rsid w:val="00297E5A"/>
    <w:rsid w:val="002A0C3B"/>
    <w:rsid w:val="002A26C1"/>
    <w:rsid w:val="002A4B28"/>
    <w:rsid w:val="002C14CB"/>
    <w:rsid w:val="002C1899"/>
    <w:rsid w:val="002C71A8"/>
    <w:rsid w:val="002C72DE"/>
    <w:rsid w:val="002D7A47"/>
    <w:rsid w:val="002E0482"/>
    <w:rsid w:val="002E0A80"/>
    <w:rsid w:val="002E0D7E"/>
    <w:rsid w:val="002E0FF6"/>
    <w:rsid w:val="002E51D3"/>
    <w:rsid w:val="002E6230"/>
    <w:rsid w:val="002E6F92"/>
    <w:rsid w:val="002F3A1F"/>
    <w:rsid w:val="002F5929"/>
    <w:rsid w:val="00302CC3"/>
    <w:rsid w:val="00302F7C"/>
    <w:rsid w:val="0030736B"/>
    <w:rsid w:val="00312CEE"/>
    <w:rsid w:val="00316EA6"/>
    <w:rsid w:val="00316FE8"/>
    <w:rsid w:val="0032235C"/>
    <w:rsid w:val="00325918"/>
    <w:rsid w:val="003268DD"/>
    <w:rsid w:val="00330695"/>
    <w:rsid w:val="00334732"/>
    <w:rsid w:val="003368C4"/>
    <w:rsid w:val="00337D2B"/>
    <w:rsid w:val="003407D5"/>
    <w:rsid w:val="00340842"/>
    <w:rsid w:val="00340967"/>
    <w:rsid w:val="0034113A"/>
    <w:rsid w:val="00342250"/>
    <w:rsid w:val="003453C1"/>
    <w:rsid w:val="00345466"/>
    <w:rsid w:val="00353B91"/>
    <w:rsid w:val="00356A3F"/>
    <w:rsid w:val="00362B92"/>
    <w:rsid w:val="003633FB"/>
    <w:rsid w:val="003662B9"/>
    <w:rsid w:val="003704EC"/>
    <w:rsid w:val="00373BFF"/>
    <w:rsid w:val="0038249B"/>
    <w:rsid w:val="0038490F"/>
    <w:rsid w:val="00392F76"/>
    <w:rsid w:val="00393D76"/>
    <w:rsid w:val="003945E7"/>
    <w:rsid w:val="003965A8"/>
    <w:rsid w:val="003970CB"/>
    <w:rsid w:val="003A36D8"/>
    <w:rsid w:val="003A63B2"/>
    <w:rsid w:val="003A73E8"/>
    <w:rsid w:val="003B243F"/>
    <w:rsid w:val="003B24D8"/>
    <w:rsid w:val="003B2963"/>
    <w:rsid w:val="003B646F"/>
    <w:rsid w:val="003B7FEF"/>
    <w:rsid w:val="003C0B0F"/>
    <w:rsid w:val="003C350E"/>
    <w:rsid w:val="003C5E1C"/>
    <w:rsid w:val="003C5F0B"/>
    <w:rsid w:val="003D1259"/>
    <w:rsid w:val="003D1755"/>
    <w:rsid w:val="003D37A1"/>
    <w:rsid w:val="003D675B"/>
    <w:rsid w:val="003E24D9"/>
    <w:rsid w:val="003E2B0E"/>
    <w:rsid w:val="003E3FA8"/>
    <w:rsid w:val="003E5A03"/>
    <w:rsid w:val="003E7A3B"/>
    <w:rsid w:val="003F0C49"/>
    <w:rsid w:val="003F1239"/>
    <w:rsid w:val="003F3949"/>
    <w:rsid w:val="003F3D96"/>
    <w:rsid w:val="003F4302"/>
    <w:rsid w:val="003F56C0"/>
    <w:rsid w:val="003F5CF3"/>
    <w:rsid w:val="00400829"/>
    <w:rsid w:val="004019C6"/>
    <w:rsid w:val="00401B69"/>
    <w:rsid w:val="00402EE0"/>
    <w:rsid w:val="00407628"/>
    <w:rsid w:val="00410FD5"/>
    <w:rsid w:val="0041195B"/>
    <w:rsid w:val="00412F4A"/>
    <w:rsid w:val="0041612A"/>
    <w:rsid w:val="00416E72"/>
    <w:rsid w:val="00421BCE"/>
    <w:rsid w:val="00422F07"/>
    <w:rsid w:val="004251DC"/>
    <w:rsid w:val="004256DE"/>
    <w:rsid w:val="00425B00"/>
    <w:rsid w:val="0043069B"/>
    <w:rsid w:val="00431206"/>
    <w:rsid w:val="00433B0D"/>
    <w:rsid w:val="00434E15"/>
    <w:rsid w:val="00442BB9"/>
    <w:rsid w:val="00446177"/>
    <w:rsid w:val="00447E5E"/>
    <w:rsid w:val="00451EC4"/>
    <w:rsid w:val="00453C55"/>
    <w:rsid w:val="0045551C"/>
    <w:rsid w:val="00457D97"/>
    <w:rsid w:val="0046130B"/>
    <w:rsid w:val="004665A3"/>
    <w:rsid w:val="00466B8D"/>
    <w:rsid w:val="00467135"/>
    <w:rsid w:val="00467378"/>
    <w:rsid w:val="00467E3E"/>
    <w:rsid w:val="0047265C"/>
    <w:rsid w:val="0047283A"/>
    <w:rsid w:val="0047439C"/>
    <w:rsid w:val="00474DAC"/>
    <w:rsid w:val="00476BEB"/>
    <w:rsid w:val="00485867"/>
    <w:rsid w:val="00496AB5"/>
    <w:rsid w:val="004A02D7"/>
    <w:rsid w:val="004A35D6"/>
    <w:rsid w:val="004A3F8D"/>
    <w:rsid w:val="004B002F"/>
    <w:rsid w:val="004B6477"/>
    <w:rsid w:val="004C2221"/>
    <w:rsid w:val="004C24C8"/>
    <w:rsid w:val="004C58B3"/>
    <w:rsid w:val="004D34C0"/>
    <w:rsid w:val="004D69C0"/>
    <w:rsid w:val="004D78E6"/>
    <w:rsid w:val="004E29B9"/>
    <w:rsid w:val="004E662B"/>
    <w:rsid w:val="004F014C"/>
    <w:rsid w:val="004F08B0"/>
    <w:rsid w:val="004F5C0C"/>
    <w:rsid w:val="004F6BF4"/>
    <w:rsid w:val="00504856"/>
    <w:rsid w:val="00513696"/>
    <w:rsid w:val="005148B3"/>
    <w:rsid w:val="005155BD"/>
    <w:rsid w:val="0051687B"/>
    <w:rsid w:val="005170CF"/>
    <w:rsid w:val="00522BF1"/>
    <w:rsid w:val="00527824"/>
    <w:rsid w:val="00531CFE"/>
    <w:rsid w:val="00533425"/>
    <w:rsid w:val="005334B3"/>
    <w:rsid w:val="00534E27"/>
    <w:rsid w:val="00534E67"/>
    <w:rsid w:val="005373C9"/>
    <w:rsid w:val="00540310"/>
    <w:rsid w:val="00545C2A"/>
    <w:rsid w:val="00552E0A"/>
    <w:rsid w:val="005534D0"/>
    <w:rsid w:val="00553801"/>
    <w:rsid w:val="0055603F"/>
    <w:rsid w:val="00562BA0"/>
    <w:rsid w:val="005633A3"/>
    <w:rsid w:val="00564469"/>
    <w:rsid w:val="00564FD9"/>
    <w:rsid w:val="005724B3"/>
    <w:rsid w:val="0057540D"/>
    <w:rsid w:val="00576A01"/>
    <w:rsid w:val="00581373"/>
    <w:rsid w:val="00584E45"/>
    <w:rsid w:val="00584F3C"/>
    <w:rsid w:val="00586605"/>
    <w:rsid w:val="00587C36"/>
    <w:rsid w:val="00592900"/>
    <w:rsid w:val="00592B87"/>
    <w:rsid w:val="00593E05"/>
    <w:rsid w:val="005976CC"/>
    <w:rsid w:val="005A345B"/>
    <w:rsid w:val="005A5764"/>
    <w:rsid w:val="005B2A93"/>
    <w:rsid w:val="005B6F52"/>
    <w:rsid w:val="005B7A0B"/>
    <w:rsid w:val="005C7BEC"/>
    <w:rsid w:val="005D030D"/>
    <w:rsid w:val="005D065A"/>
    <w:rsid w:val="005D474B"/>
    <w:rsid w:val="005D66CF"/>
    <w:rsid w:val="005E0977"/>
    <w:rsid w:val="005E49B3"/>
    <w:rsid w:val="005E6880"/>
    <w:rsid w:val="005E7BBD"/>
    <w:rsid w:val="005E7BE8"/>
    <w:rsid w:val="005F110B"/>
    <w:rsid w:val="005F1E56"/>
    <w:rsid w:val="005F3730"/>
    <w:rsid w:val="005F3DB1"/>
    <w:rsid w:val="005F43CA"/>
    <w:rsid w:val="005F48CB"/>
    <w:rsid w:val="005F56DB"/>
    <w:rsid w:val="005F688D"/>
    <w:rsid w:val="005F7777"/>
    <w:rsid w:val="00602C56"/>
    <w:rsid w:val="00603507"/>
    <w:rsid w:val="00610522"/>
    <w:rsid w:val="006160CE"/>
    <w:rsid w:val="006170BF"/>
    <w:rsid w:val="00617100"/>
    <w:rsid w:val="0062168F"/>
    <w:rsid w:val="00623370"/>
    <w:rsid w:val="00623A44"/>
    <w:rsid w:val="00631B7C"/>
    <w:rsid w:val="00633216"/>
    <w:rsid w:val="00642ABB"/>
    <w:rsid w:val="00644930"/>
    <w:rsid w:val="00645373"/>
    <w:rsid w:val="006469C3"/>
    <w:rsid w:val="0064725D"/>
    <w:rsid w:val="006552CB"/>
    <w:rsid w:val="00656D71"/>
    <w:rsid w:val="0065776B"/>
    <w:rsid w:val="00665ADF"/>
    <w:rsid w:val="00672092"/>
    <w:rsid w:val="006741B5"/>
    <w:rsid w:val="00677201"/>
    <w:rsid w:val="006777C9"/>
    <w:rsid w:val="00677A86"/>
    <w:rsid w:val="00681BA9"/>
    <w:rsid w:val="006829E0"/>
    <w:rsid w:val="00683617"/>
    <w:rsid w:val="006838B4"/>
    <w:rsid w:val="00686302"/>
    <w:rsid w:val="00686E06"/>
    <w:rsid w:val="00687592"/>
    <w:rsid w:val="00691A50"/>
    <w:rsid w:val="00692D36"/>
    <w:rsid w:val="006937F1"/>
    <w:rsid w:val="0069455F"/>
    <w:rsid w:val="00696ABD"/>
    <w:rsid w:val="006A5CA7"/>
    <w:rsid w:val="006A695F"/>
    <w:rsid w:val="006B47C4"/>
    <w:rsid w:val="006B64E7"/>
    <w:rsid w:val="006C1105"/>
    <w:rsid w:val="006C1CBD"/>
    <w:rsid w:val="006D6109"/>
    <w:rsid w:val="006E0037"/>
    <w:rsid w:val="006E1D64"/>
    <w:rsid w:val="006E33AC"/>
    <w:rsid w:val="006E420A"/>
    <w:rsid w:val="006F1593"/>
    <w:rsid w:val="006F2159"/>
    <w:rsid w:val="006F518D"/>
    <w:rsid w:val="006F58D8"/>
    <w:rsid w:val="006F73DD"/>
    <w:rsid w:val="007001F5"/>
    <w:rsid w:val="0070180A"/>
    <w:rsid w:val="007050E3"/>
    <w:rsid w:val="007060C5"/>
    <w:rsid w:val="00717BC5"/>
    <w:rsid w:val="00717CC1"/>
    <w:rsid w:val="00717D03"/>
    <w:rsid w:val="00723B47"/>
    <w:rsid w:val="00730A29"/>
    <w:rsid w:val="00731CB6"/>
    <w:rsid w:val="007348CD"/>
    <w:rsid w:val="00734DD2"/>
    <w:rsid w:val="00735D61"/>
    <w:rsid w:val="0074267D"/>
    <w:rsid w:val="0074279F"/>
    <w:rsid w:val="00742CAF"/>
    <w:rsid w:val="00742CF4"/>
    <w:rsid w:val="007436C2"/>
    <w:rsid w:val="007450FE"/>
    <w:rsid w:val="007474B1"/>
    <w:rsid w:val="00750203"/>
    <w:rsid w:val="00751EBD"/>
    <w:rsid w:val="00752608"/>
    <w:rsid w:val="007533E3"/>
    <w:rsid w:val="0075431E"/>
    <w:rsid w:val="00754735"/>
    <w:rsid w:val="00755B9D"/>
    <w:rsid w:val="00761B4D"/>
    <w:rsid w:val="00761F9C"/>
    <w:rsid w:val="007668A0"/>
    <w:rsid w:val="00766906"/>
    <w:rsid w:val="007674A9"/>
    <w:rsid w:val="00772AE8"/>
    <w:rsid w:val="00775469"/>
    <w:rsid w:val="007757A4"/>
    <w:rsid w:val="00781744"/>
    <w:rsid w:val="007818DA"/>
    <w:rsid w:val="00781FD8"/>
    <w:rsid w:val="007823B5"/>
    <w:rsid w:val="007837D6"/>
    <w:rsid w:val="00786180"/>
    <w:rsid w:val="00793E06"/>
    <w:rsid w:val="00793FEB"/>
    <w:rsid w:val="007954B1"/>
    <w:rsid w:val="0079651A"/>
    <w:rsid w:val="007A031F"/>
    <w:rsid w:val="007A179F"/>
    <w:rsid w:val="007A1D0E"/>
    <w:rsid w:val="007A2AF8"/>
    <w:rsid w:val="007A2C89"/>
    <w:rsid w:val="007A32DE"/>
    <w:rsid w:val="007A51E5"/>
    <w:rsid w:val="007A599A"/>
    <w:rsid w:val="007A5ACC"/>
    <w:rsid w:val="007A7438"/>
    <w:rsid w:val="007A7A23"/>
    <w:rsid w:val="007B118B"/>
    <w:rsid w:val="007B4565"/>
    <w:rsid w:val="007B580D"/>
    <w:rsid w:val="007B5F23"/>
    <w:rsid w:val="007C4AF0"/>
    <w:rsid w:val="007C5112"/>
    <w:rsid w:val="007C6974"/>
    <w:rsid w:val="007C747E"/>
    <w:rsid w:val="007C7851"/>
    <w:rsid w:val="007C7B6C"/>
    <w:rsid w:val="007D368D"/>
    <w:rsid w:val="007D3703"/>
    <w:rsid w:val="007D76AF"/>
    <w:rsid w:val="007D76D4"/>
    <w:rsid w:val="007D7E6B"/>
    <w:rsid w:val="007E1DF0"/>
    <w:rsid w:val="007E2250"/>
    <w:rsid w:val="007E2446"/>
    <w:rsid w:val="007E426E"/>
    <w:rsid w:val="007E7FC7"/>
    <w:rsid w:val="007F0152"/>
    <w:rsid w:val="007F0E37"/>
    <w:rsid w:val="007F2A9B"/>
    <w:rsid w:val="007F3113"/>
    <w:rsid w:val="007F72AB"/>
    <w:rsid w:val="007F7AA1"/>
    <w:rsid w:val="00801328"/>
    <w:rsid w:val="008043FB"/>
    <w:rsid w:val="008056BA"/>
    <w:rsid w:val="00805CFF"/>
    <w:rsid w:val="00807D8F"/>
    <w:rsid w:val="00814988"/>
    <w:rsid w:val="00815609"/>
    <w:rsid w:val="00816025"/>
    <w:rsid w:val="00836791"/>
    <w:rsid w:val="00836B02"/>
    <w:rsid w:val="00840582"/>
    <w:rsid w:val="00842B0D"/>
    <w:rsid w:val="00844DAB"/>
    <w:rsid w:val="0084514D"/>
    <w:rsid w:val="00845379"/>
    <w:rsid w:val="008453B8"/>
    <w:rsid w:val="008475AA"/>
    <w:rsid w:val="008503FF"/>
    <w:rsid w:val="008610F3"/>
    <w:rsid w:val="0086177B"/>
    <w:rsid w:val="00862A3A"/>
    <w:rsid w:val="008673AF"/>
    <w:rsid w:val="00872D82"/>
    <w:rsid w:val="00874D56"/>
    <w:rsid w:val="00876227"/>
    <w:rsid w:val="00876FAC"/>
    <w:rsid w:val="00877CAB"/>
    <w:rsid w:val="00882402"/>
    <w:rsid w:val="00883051"/>
    <w:rsid w:val="008848BD"/>
    <w:rsid w:val="008856D4"/>
    <w:rsid w:val="00886C9E"/>
    <w:rsid w:val="00894A36"/>
    <w:rsid w:val="008971FD"/>
    <w:rsid w:val="008A061F"/>
    <w:rsid w:val="008A0A4A"/>
    <w:rsid w:val="008A12E1"/>
    <w:rsid w:val="008A13CD"/>
    <w:rsid w:val="008A4FA6"/>
    <w:rsid w:val="008A6BC4"/>
    <w:rsid w:val="008A7890"/>
    <w:rsid w:val="008B0E41"/>
    <w:rsid w:val="008B3536"/>
    <w:rsid w:val="008B5732"/>
    <w:rsid w:val="008B5B2D"/>
    <w:rsid w:val="008B69FB"/>
    <w:rsid w:val="008C4B77"/>
    <w:rsid w:val="008C6879"/>
    <w:rsid w:val="008D674F"/>
    <w:rsid w:val="008D7A2D"/>
    <w:rsid w:val="008E3680"/>
    <w:rsid w:val="008E4F1F"/>
    <w:rsid w:val="008E527E"/>
    <w:rsid w:val="008E7A74"/>
    <w:rsid w:val="008E7FB0"/>
    <w:rsid w:val="008F07A8"/>
    <w:rsid w:val="008F0F5F"/>
    <w:rsid w:val="008F1CF8"/>
    <w:rsid w:val="008F20F3"/>
    <w:rsid w:val="008F21DB"/>
    <w:rsid w:val="008F26E2"/>
    <w:rsid w:val="008F4A0F"/>
    <w:rsid w:val="008F62F4"/>
    <w:rsid w:val="009000DB"/>
    <w:rsid w:val="009042C6"/>
    <w:rsid w:val="0090682D"/>
    <w:rsid w:val="0090768D"/>
    <w:rsid w:val="00916F62"/>
    <w:rsid w:val="00917E0D"/>
    <w:rsid w:val="00922849"/>
    <w:rsid w:val="00922B30"/>
    <w:rsid w:val="009245EF"/>
    <w:rsid w:val="00924A78"/>
    <w:rsid w:val="009366CB"/>
    <w:rsid w:val="009368AE"/>
    <w:rsid w:val="00936D90"/>
    <w:rsid w:val="00940224"/>
    <w:rsid w:val="00941467"/>
    <w:rsid w:val="00943BAE"/>
    <w:rsid w:val="009453A4"/>
    <w:rsid w:val="00945955"/>
    <w:rsid w:val="0094734D"/>
    <w:rsid w:val="00954605"/>
    <w:rsid w:val="00954913"/>
    <w:rsid w:val="00954F82"/>
    <w:rsid w:val="00956950"/>
    <w:rsid w:val="00960266"/>
    <w:rsid w:val="00963196"/>
    <w:rsid w:val="00963528"/>
    <w:rsid w:val="00964396"/>
    <w:rsid w:val="00966417"/>
    <w:rsid w:val="009725BB"/>
    <w:rsid w:val="00972F38"/>
    <w:rsid w:val="00977F82"/>
    <w:rsid w:val="00980E1C"/>
    <w:rsid w:val="00981633"/>
    <w:rsid w:val="00981670"/>
    <w:rsid w:val="00983BA3"/>
    <w:rsid w:val="00987814"/>
    <w:rsid w:val="009878AC"/>
    <w:rsid w:val="00987DAC"/>
    <w:rsid w:val="00987F02"/>
    <w:rsid w:val="00990DE6"/>
    <w:rsid w:val="009A05DD"/>
    <w:rsid w:val="009A0A1D"/>
    <w:rsid w:val="009A42EF"/>
    <w:rsid w:val="009A6932"/>
    <w:rsid w:val="009B021A"/>
    <w:rsid w:val="009B0D98"/>
    <w:rsid w:val="009B32DC"/>
    <w:rsid w:val="009B4049"/>
    <w:rsid w:val="009B6039"/>
    <w:rsid w:val="009C14DB"/>
    <w:rsid w:val="009C246A"/>
    <w:rsid w:val="009C29C9"/>
    <w:rsid w:val="009C3CA7"/>
    <w:rsid w:val="009C4ACB"/>
    <w:rsid w:val="009C6182"/>
    <w:rsid w:val="009C787C"/>
    <w:rsid w:val="009D2535"/>
    <w:rsid w:val="009D2AF1"/>
    <w:rsid w:val="009D377B"/>
    <w:rsid w:val="009D383B"/>
    <w:rsid w:val="009D54E1"/>
    <w:rsid w:val="009D59CB"/>
    <w:rsid w:val="009E03B1"/>
    <w:rsid w:val="009E36F9"/>
    <w:rsid w:val="009E61E9"/>
    <w:rsid w:val="009E709E"/>
    <w:rsid w:val="009E7851"/>
    <w:rsid w:val="009F42FD"/>
    <w:rsid w:val="009F6A45"/>
    <w:rsid w:val="00A02154"/>
    <w:rsid w:val="00A027F3"/>
    <w:rsid w:val="00A03EE7"/>
    <w:rsid w:val="00A0543B"/>
    <w:rsid w:val="00A06BA0"/>
    <w:rsid w:val="00A06E98"/>
    <w:rsid w:val="00A108D2"/>
    <w:rsid w:val="00A11227"/>
    <w:rsid w:val="00A13166"/>
    <w:rsid w:val="00A1352A"/>
    <w:rsid w:val="00A15EFE"/>
    <w:rsid w:val="00A20546"/>
    <w:rsid w:val="00A22C1A"/>
    <w:rsid w:val="00A27590"/>
    <w:rsid w:val="00A27AD4"/>
    <w:rsid w:val="00A40870"/>
    <w:rsid w:val="00A44278"/>
    <w:rsid w:val="00A4443C"/>
    <w:rsid w:val="00A45A67"/>
    <w:rsid w:val="00A503D6"/>
    <w:rsid w:val="00A53562"/>
    <w:rsid w:val="00A539B4"/>
    <w:rsid w:val="00A562D6"/>
    <w:rsid w:val="00A60646"/>
    <w:rsid w:val="00A60B55"/>
    <w:rsid w:val="00A613E0"/>
    <w:rsid w:val="00A61637"/>
    <w:rsid w:val="00A6183E"/>
    <w:rsid w:val="00A6394D"/>
    <w:rsid w:val="00A6429C"/>
    <w:rsid w:val="00A64A29"/>
    <w:rsid w:val="00A652EB"/>
    <w:rsid w:val="00A71885"/>
    <w:rsid w:val="00A71B11"/>
    <w:rsid w:val="00A7258E"/>
    <w:rsid w:val="00A733DC"/>
    <w:rsid w:val="00A7417D"/>
    <w:rsid w:val="00A74BFE"/>
    <w:rsid w:val="00A8260B"/>
    <w:rsid w:val="00A90C15"/>
    <w:rsid w:val="00A92496"/>
    <w:rsid w:val="00A950F9"/>
    <w:rsid w:val="00A9521E"/>
    <w:rsid w:val="00A9773E"/>
    <w:rsid w:val="00AA1D6F"/>
    <w:rsid w:val="00AA384D"/>
    <w:rsid w:val="00AA47A2"/>
    <w:rsid w:val="00AB09FB"/>
    <w:rsid w:val="00AB39CE"/>
    <w:rsid w:val="00AC1D8B"/>
    <w:rsid w:val="00AC2F5E"/>
    <w:rsid w:val="00AC556C"/>
    <w:rsid w:val="00AC6E81"/>
    <w:rsid w:val="00AC7FA2"/>
    <w:rsid w:val="00AD50AD"/>
    <w:rsid w:val="00AD5748"/>
    <w:rsid w:val="00AE26F1"/>
    <w:rsid w:val="00AE3A71"/>
    <w:rsid w:val="00AE65F3"/>
    <w:rsid w:val="00AE6B87"/>
    <w:rsid w:val="00AE7021"/>
    <w:rsid w:val="00AE7A1B"/>
    <w:rsid w:val="00AF15F9"/>
    <w:rsid w:val="00AF3F23"/>
    <w:rsid w:val="00AF40FB"/>
    <w:rsid w:val="00AF451D"/>
    <w:rsid w:val="00AF767A"/>
    <w:rsid w:val="00B00C7C"/>
    <w:rsid w:val="00B01628"/>
    <w:rsid w:val="00B04183"/>
    <w:rsid w:val="00B06AED"/>
    <w:rsid w:val="00B149ED"/>
    <w:rsid w:val="00B160AD"/>
    <w:rsid w:val="00B1645B"/>
    <w:rsid w:val="00B17547"/>
    <w:rsid w:val="00B2507D"/>
    <w:rsid w:val="00B2516F"/>
    <w:rsid w:val="00B25461"/>
    <w:rsid w:val="00B26C07"/>
    <w:rsid w:val="00B3109B"/>
    <w:rsid w:val="00B31120"/>
    <w:rsid w:val="00B338F8"/>
    <w:rsid w:val="00B35D5A"/>
    <w:rsid w:val="00B37D36"/>
    <w:rsid w:val="00B4045B"/>
    <w:rsid w:val="00B43C8E"/>
    <w:rsid w:val="00B43CC1"/>
    <w:rsid w:val="00B462C5"/>
    <w:rsid w:val="00B475EC"/>
    <w:rsid w:val="00B4777A"/>
    <w:rsid w:val="00B505C6"/>
    <w:rsid w:val="00B50853"/>
    <w:rsid w:val="00B51262"/>
    <w:rsid w:val="00B53EDD"/>
    <w:rsid w:val="00B54A46"/>
    <w:rsid w:val="00B565C8"/>
    <w:rsid w:val="00B573D5"/>
    <w:rsid w:val="00B60C46"/>
    <w:rsid w:val="00B65121"/>
    <w:rsid w:val="00B72046"/>
    <w:rsid w:val="00B726CA"/>
    <w:rsid w:val="00B7290D"/>
    <w:rsid w:val="00B72EF5"/>
    <w:rsid w:val="00B7716E"/>
    <w:rsid w:val="00B7764C"/>
    <w:rsid w:val="00B8128D"/>
    <w:rsid w:val="00B839AC"/>
    <w:rsid w:val="00B86A89"/>
    <w:rsid w:val="00B9130C"/>
    <w:rsid w:val="00B93460"/>
    <w:rsid w:val="00BA52F2"/>
    <w:rsid w:val="00BA60A7"/>
    <w:rsid w:val="00BA6486"/>
    <w:rsid w:val="00BB1830"/>
    <w:rsid w:val="00BB18B5"/>
    <w:rsid w:val="00BB1F89"/>
    <w:rsid w:val="00BB6000"/>
    <w:rsid w:val="00BC18FC"/>
    <w:rsid w:val="00BC1A37"/>
    <w:rsid w:val="00BC511E"/>
    <w:rsid w:val="00BD46D1"/>
    <w:rsid w:val="00BD4992"/>
    <w:rsid w:val="00BD54A2"/>
    <w:rsid w:val="00BD5ADA"/>
    <w:rsid w:val="00BE0541"/>
    <w:rsid w:val="00BE4600"/>
    <w:rsid w:val="00BE47AF"/>
    <w:rsid w:val="00BE5038"/>
    <w:rsid w:val="00BE6EB2"/>
    <w:rsid w:val="00BE6F18"/>
    <w:rsid w:val="00BE6F7B"/>
    <w:rsid w:val="00BE787F"/>
    <w:rsid w:val="00BF06E5"/>
    <w:rsid w:val="00BF23D8"/>
    <w:rsid w:val="00BF4582"/>
    <w:rsid w:val="00BF657A"/>
    <w:rsid w:val="00C008E9"/>
    <w:rsid w:val="00C00B0C"/>
    <w:rsid w:val="00C01282"/>
    <w:rsid w:val="00C02943"/>
    <w:rsid w:val="00C03456"/>
    <w:rsid w:val="00C04E66"/>
    <w:rsid w:val="00C063C0"/>
    <w:rsid w:val="00C07A86"/>
    <w:rsid w:val="00C1023A"/>
    <w:rsid w:val="00C1108B"/>
    <w:rsid w:val="00C11542"/>
    <w:rsid w:val="00C13E1F"/>
    <w:rsid w:val="00C141D1"/>
    <w:rsid w:val="00C15318"/>
    <w:rsid w:val="00C15BAB"/>
    <w:rsid w:val="00C205D2"/>
    <w:rsid w:val="00C255D4"/>
    <w:rsid w:val="00C3128E"/>
    <w:rsid w:val="00C321C3"/>
    <w:rsid w:val="00C32605"/>
    <w:rsid w:val="00C40F65"/>
    <w:rsid w:val="00C412D6"/>
    <w:rsid w:val="00C43992"/>
    <w:rsid w:val="00C44CC9"/>
    <w:rsid w:val="00C45F8E"/>
    <w:rsid w:val="00C50A69"/>
    <w:rsid w:val="00C51CA2"/>
    <w:rsid w:val="00C5324E"/>
    <w:rsid w:val="00C605A2"/>
    <w:rsid w:val="00C63E3B"/>
    <w:rsid w:val="00C82283"/>
    <w:rsid w:val="00C83C5E"/>
    <w:rsid w:val="00C85933"/>
    <w:rsid w:val="00C85E8D"/>
    <w:rsid w:val="00C95AC3"/>
    <w:rsid w:val="00C965F2"/>
    <w:rsid w:val="00C97B90"/>
    <w:rsid w:val="00CA1BE6"/>
    <w:rsid w:val="00CA3426"/>
    <w:rsid w:val="00CA426C"/>
    <w:rsid w:val="00CA5CB1"/>
    <w:rsid w:val="00CB0DE6"/>
    <w:rsid w:val="00CB10EF"/>
    <w:rsid w:val="00CB277C"/>
    <w:rsid w:val="00CB4A28"/>
    <w:rsid w:val="00CB66D6"/>
    <w:rsid w:val="00CB6782"/>
    <w:rsid w:val="00CB6A1F"/>
    <w:rsid w:val="00CB6D7C"/>
    <w:rsid w:val="00CB7A7B"/>
    <w:rsid w:val="00CC105E"/>
    <w:rsid w:val="00CC1688"/>
    <w:rsid w:val="00CC2DAC"/>
    <w:rsid w:val="00CC34BA"/>
    <w:rsid w:val="00CC67A5"/>
    <w:rsid w:val="00CD05AE"/>
    <w:rsid w:val="00CD1E0E"/>
    <w:rsid w:val="00CD21E7"/>
    <w:rsid w:val="00CD2A2C"/>
    <w:rsid w:val="00CD6222"/>
    <w:rsid w:val="00CD72E4"/>
    <w:rsid w:val="00CE1153"/>
    <w:rsid w:val="00CE202C"/>
    <w:rsid w:val="00CE2A41"/>
    <w:rsid w:val="00CE39AF"/>
    <w:rsid w:val="00CE3CC2"/>
    <w:rsid w:val="00CE7007"/>
    <w:rsid w:val="00CF0BA4"/>
    <w:rsid w:val="00CF4F07"/>
    <w:rsid w:val="00CF5866"/>
    <w:rsid w:val="00CF59E7"/>
    <w:rsid w:val="00CF630F"/>
    <w:rsid w:val="00CF64DB"/>
    <w:rsid w:val="00D01633"/>
    <w:rsid w:val="00D02040"/>
    <w:rsid w:val="00D04399"/>
    <w:rsid w:val="00D06249"/>
    <w:rsid w:val="00D079D6"/>
    <w:rsid w:val="00D12A2C"/>
    <w:rsid w:val="00D16A59"/>
    <w:rsid w:val="00D21193"/>
    <w:rsid w:val="00D21642"/>
    <w:rsid w:val="00D21B74"/>
    <w:rsid w:val="00D22DB2"/>
    <w:rsid w:val="00D23964"/>
    <w:rsid w:val="00D2618E"/>
    <w:rsid w:val="00D2778D"/>
    <w:rsid w:val="00D304AE"/>
    <w:rsid w:val="00D32B3F"/>
    <w:rsid w:val="00D35ABA"/>
    <w:rsid w:val="00D35D6E"/>
    <w:rsid w:val="00D36056"/>
    <w:rsid w:val="00D36E7D"/>
    <w:rsid w:val="00D415AA"/>
    <w:rsid w:val="00D44E0D"/>
    <w:rsid w:val="00D4656D"/>
    <w:rsid w:val="00D50F2E"/>
    <w:rsid w:val="00D5100D"/>
    <w:rsid w:val="00D511A4"/>
    <w:rsid w:val="00D51D84"/>
    <w:rsid w:val="00D55E80"/>
    <w:rsid w:val="00D563F1"/>
    <w:rsid w:val="00D60035"/>
    <w:rsid w:val="00D6206F"/>
    <w:rsid w:val="00D62EA7"/>
    <w:rsid w:val="00D64B6F"/>
    <w:rsid w:val="00D67D72"/>
    <w:rsid w:val="00D67F49"/>
    <w:rsid w:val="00D70454"/>
    <w:rsid w:val="00D77FF6"/>
    <w:rsid w:val="00D80B99"/>
    <w:rsid w:val="00D81531"/>
    <w:rsid w:val="00D82365"/>
    <w:rsid w:val="00D838AA"/>
    <w:rsid w:val="00D8404C"/>
    <w:rsid w:val="00D8520D"/>
    <w:rsid w:val="00D92C11"/>
    <w:rsid w:val="00D93779"/>
    <w:rsid w:val="00D95DA0"/>
    <w:rsid w:val="00DB386B"/>
    <w:rsid w:val="00DB53AD"/>
    <w:rsid w:val="00DB54FE"/>
    <w:rsid w:val="00DB7375"/>
    <w:rsid w:val="00DC011D"/>
    <w:rsid w:val="00DD2144"/>
    <w:rsid w:val="00DD3C35"/>
    <w:rsid w:val="00DD4360"/>
    <w:rsid w:val="00DD5145"/>
    <w:rsid w:val="00DD7A20"/>
    <w:rsid w:val="00DE2425"/>
    <w:rsid w:val="00DE2E5C"/>
    <w:rsid w:val="00DE4A6E"/>
    <w:rsid w:val="00DE7E73"/>
    <w:rsid w:val="00DF05C2"/>
    <w:rsid w:val="00DF360F"/>
    <w:rsid w:val="00DF3627"/>
    <w:rsid w:val="00DF403C"/>
    <w:rsid w:val="00DF43C1"/>
    <w:rsid w:val="00DF5D00"/>
    <w:rsid w:val="00E0099E"/>
    <w:rsid w:val="00E02622"/>
    <w:rsid w:val="00E03F77"/>
    <w:rsid w:val="00E04060"/>
    <w:rsid w:val="00E04A3D"/>
    <w:rsid w:val="00E10BD7"/>
    <w:rsid w:val="00E115C0"/>
    <w:rsid w:val="00E117A3"/>
    <w:rsid w:val="00E12326"/>
    <w:rsid w:val="00E13871"/>
    <w:rsid w:val="00E1426D"/>
    <w:rsid w:val="00E1570C"/>
    <w:rsid w:val="00E1668E"/>
    <w:rsid w:val="00E20BEE"/>
    <w:rsid w:val="00E214BD"/>
    <w:rsid w:val="00E218C3"/>
    <w:rsid w:val="00E229EA"/>
    <w:rsid w:val="00E24171"/>
    <w:rsid w:val="00E242D5"/>
    <w:rsid w:val="00E24C77"/>
    <w:rsid w:val="00E27181"/>
    <w:rsid w:val="00E31463"/>
    <w:rsid w:val="00E35F9A"/>
    <w:rsid w:val="00E36AA9"/>
    <w:rsid w:val="00E42BA3"/>
    <w:rsid w:val="00E42C9D"/>
    <w:rsid w:val="00E50B67"/>
    <w:rsid w:val="00E51ACF"/>
    <w:rsid w:val="00E51BF3"/>
    <w:rsid w:val="00E53E51"/>
    <w:rsid w:val="00E54E25"/>
    <w:rsid w:val="00E558FB"/>
    <w:rsid w:val="00E614A6"/>
    <w:rsid w:val="00E67666"/>
    <w:rsid w:val="00E7296F"/>
    <w:rsid w:val="00E734AD"/>
    <w:rsid w:val="00E74243"/>
    <w:rsid w:val="00E752F8"/>
    <w:rsid w:val="00E81046"/>
    <w:rsid w:val="00E821DC"/>
    <w:rsid w:val="00E82DC2"/>
    <w:rsid w:val="00E845BC"/>
    <w:rsid w:val="00E8685D"/>
    <w:rsid w:val="00E86B4E"/>
    <w:rsid w:val="00E86C44"/>
    <w:rsid w:val="00E8792F"/>
    <w:rsid w:val="00E901F8"/>
    <w:rsid w:val="00E92189"/>
    <w:rsid w:val="00E973E7"/>
    <w:rsid w:val="00EA089B"/>
    <w:rsid w:val="00EA4666"/>
    <w:rsid w:val="00EA6065"/>
    <w:rsid w:val="00EA73BB"/>
    <w:rsid w:val="00EB248A"/>
    <w:rsid w:val="00EB4965"/>
    <w:rsid w:val="00EB55B7"/>
    <w:rsid w:val="00EB61E5"/>
    <w:rsid w:val="00EB7B7D"/>
    <w:rsid w:val="00EC1896"/>
    <w:rsid w:val="00EC74B1"/>
    <w:rsid w:val="00ED1ED9"/>
    <w:rsid w:val="00ED2097"/>
    <w:rsid w:val="00ED3E21"/>
    <w:rsid w:val="00ED486F"/>
    <w:rsid w:val="00ED4C24"/>
    <w:rsid w:val="00ED4D24"/>
    <w:rsid w:val="00ED5150"/>
    <w:rsid w:val="00ED54C6"/>
    <w:rsid w:val="00ED7661"/>
    <w:rsid w:val="00ED7837"/>
    <w:rsid w:val="00EE6DFA"/>
    <w:rsid w:val="00EF04B9"/>
    <w:rsid w:val="00EF1A65"/>
    <w:rsid w:val="00EF3ECB"/>
    <w:rsid w:val="00EF4370"/>
    <w:rsid w:val="00EF4AF4"/>
    <w:rsid w:val="00EF5AB8"/>
    <w:rsid w:val="00F0196D"/>
    <w:rsid w:val="00F01BF9"/>
    <w:rsid w:val="00F10FDA"/>
    <w:rsid w:val="00F11413"/>
    <w:rsid w:val="00F11CE1"/>
    <w:rsid w:val="00F17079"/>
    <w:rsid w:val="00F244FF"/>
    <w:rsid w:val="00F269C0"/>
    <w:rsid w:val="00F33402"/>
    <w:rsid w:val="00F367AB"/>
    <w:rsid w:val="00F37609"/>
    <w:rsid w:val="00F41720"/>
    <w:rsid w:val="00F41FA3"/>
    <w:rsid w:val="00F43E59"/>
    <w:rsid w:val="00F47DD9"/>
    <w:rsid w:val="00F51EE2"/>
    <w:rsid w:val="00F52864"/>
    <w:rsid w:val="00F57BB7"/>
    <w:rsid w:val="00F647E5"/>
    <w:rsid w:val="00F662ED"/>
    <w:rsid w:val="00F70612"/>
    <w:rsid w:val="00F70F10"/>
    <w:rsid w:val="00F70F24"/>
    <w:rsid w:val="00F74614"/>
    <w:rsid w:val="00F75C43"/>
    <w:rsid w:val="00F76DC8"/>
    <w:rsid w:val="00F77F5D"/>
    <w:rsid w:val="00F81961"/>
    <w:rsid w:val="00F84E1E"/>
    <w:rsid w:val="00F869D5"/>
    <w:rsid w:val="00F91B8C"/>
    <w:rsid w:val="00F95503"/>
    <w:rsid w:val="00FA3A25"/>
    <w:rsid w:val="00FA4AE4"/>
    <w:rsid w:val="00FA5772"/>
    <w:rsid w:val="00FA777E"/>
    <w:rsid w:val="00FB0C8F"/>
    <w:rsid w:val="00FB4614"/>
    <w:rsid w:val="00FC180E"/>
    <w:rsid w:val="00FC4408"/>
    <w:rsid w:val="00FC51B0"/>
    <w:rsid w:val="00FC57DD"/>
    <w:rsid w:val="00FC6C88"/>
    <w:rsid w:val="00FC6FC2"/>
    <w:rsid w:val="00FD1ADC"/>
    <w:rsid w:val="00FD231C"/>
    <w:rsid w:val="00FD6BA6"/>
    <w:rsid w:val="00FE1347"/>
    <w:rsid w:val="00FE3031"/>
    <w:rsid w:val="00FF279A"/>
    <w:rsid w:val="00FF307A"/>
    <w:rsid w:val="00FF4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F0BE"/>
  <w15:docId w15:val="{5C7E0C95-735E-45FA-B7D7-A2260593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ind w:right="318"/>
      <w:jc w:val="center"/>
      <w:outlineLvl w:val="0"/>
    </w:pPr>
    <w:rPr>
      <w:b/>
      <w:bCs/>
      <w:sz w:val="84"/>
      <w:szCs w:val="84"/>
    </w:rPr>
  </w:style>
  <w:style w:type="paragraph" w:styleId="Rubrik2">
    <w:name w:val="heading 2"/>
    <w:basedOn w:val="Normal"/>
    <w:uiPriority w:val="9"/>
    <w:unhideWhenUsed/>
    <w:qFormat/>
    <w:pPr>
      <w:ind w:left="118"/>
      <w:outlineLvl w:val="1"/>
    </w:pPr>
    <w:rPr>
      <w:b/>
      <w:bCs/>
      <w:sz w:val="44"/>
      <w:szCs w:val="44"/>
    </w:rPr>
  </w:style>
  <w:style w:type="paragraph" w:styleId="Rubrik3">
    <w:name w:val="heading 3"/>
    <w:basedOn w:val="Normal"/>
    <w:uiPriority w:val="9"/>
    <w:unhideWhenUsed/>
    <w:qFormat/>
    <w:pPr>
      <w:spacing w:line="384" w:lineRule="exact"/>
      <w:ind w:right="318"/>
      <w:jc w:val="center"/>
      <w:outlineLvl w:val="2"/>
    </w:pPr>
    <w:rPr>
      <w:b/>
      <w:bCs/>
      <w:sz w:val="36"/>
      <w:szCs w:val="36"/>
    </w:rPr>
  </w:style>
  <w:style w:type="paragraph" w:styleId="Rubrik4">
    <w:name w:val="heading 4"/>
    <w:basedOn w:val="Normal"/>
    <w:uiPriority w:val="9"/>
    <w:unhideWhenUsed/>
    <w:qFormat/>
    <w:pPr>
      <w:ind w:left="1534"/>
      <w:outlineLvl w:val="3"/>
    </w:pPr>
    <w:rPr>
      <w:b/>
      <w:bCs/>
      <w:sz w:val="32"/>
      <w:szCs w:val="32"/>
    </w:rPr>
  </w:style>
  <w:style w:type="paragraph" w:styleId="Rubrik5">
    <w:name w:val="heading 5"/>
    <w:basedOn w:val="Normal"/>
    <w:uiPriority w:val="9"/>
    <w:unhideWhenUsed/>
    <w:qFormat/>
    <w:pPr>
      <w:ind w:left="118"/>
      <w:outlineLvl w:val="4"/>
    </w:pPr>
    <w:rPr>
      <w:b/>
      <w:bCs/>
      <w:sz w:val="24"/>
      <w:szCs w:val="24"/>
    </w:rPr>
  </w:style>
  <w:style w:type="paragraph" w:styleId="Rubrik6">
    <w:name w:val="heading 6"/>
    <w:basedOn w:val="Normal"/>
    <w:uiPriority w:val="9"/>
    <w:unhideWhenUsed/>
    <w:qFormat/>
    <w:pPr>
      <w:ind w:left="118"/>
      <w:outlineLvl w:val="5"/>
    </w:pPr>
    <w:rPr>
      <w:rFonts w:ascii="Garamond" w:eastAsia="Garamond" w:hAnsi="Garamond" w:cs="Garamond"/>
    </w:rPr>
  </w:style>
  <w:style w:type="paragraph" w:styleId="Rubrik7">
    <w:name w:val="heading 7"/>
    <w:basedOn w:val="Normal"/>
    <w:uiPriority w:val="1"/>
    <w:qFormat/>
    <w:pPr>
      <w:ind w:left="118"/>
      <w:outlineLvl w:val="6"/>
    </w:pPr>
    <w:rPr>
      <w:i/>
      <w:iCs/>
      <w:sz w:val="20"/>
      <w:szCs w:val="20"/>
    </w:rPr>
  </w:style>
  <w:style w:type="paragraph" w:styleId="Rubrik8">
    <w:name w:val="heading 8"/>
    <w:basedOn w:val="Normal"/>
    <w:uiPriority w:val="1"/>
    <w:qFormat/>
    <w:pPr>
      <w:ind w:left="118"/>
      <w:outlineLvl w:val="7"/>
    </w:pPr>
    <w:rPr>
      <w:b/>
      <w:bCs/>
      <w:sz w:val="18"/>
      <w:szCs w:val="18"/>
    </w:rPr>
  </w:style>
  <w:style w:type="paragraph" w:styleId="Rubrik9">
    <w:name w:val="heading 9"/>
    <w:basedOn w:val="Normal"/>
    <w:uiPriority w:val="1"/>
    <w:qFormat/>
    <w:pPr>
      <w:ind w:left="1534"/>
      <w:outlineLvl w:val="8"/>
    </w:pPr>
    <w:rPr>
      <w:b/>
      <w:bCs/>
      <w:i/>
      <w:i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21"/>
      <w:ind w:left="1534"/>
    </w:pPr>
    <w:rPr>
      <w:sz w:val="18"/>
      <w:szCs w:val="18"/>
    </w:rPr>
  </w:style>
  <w:style w:type="paragraph" w:styleId="Brdtext">
    <w:name w:val="Body Text"/>
    <w:basedOn w:val="Normal"/>
    <w:uiPriority w:val="1"/>
    <w:qFormat/>
    <w:rPr>
      <w:sz w:val="18"/>
      <w:szCs w:val="18"/>
    </w:rPr>
  </w:style>
  <w:style w:type="paragraph" w:styleId="Rubrik">
    <w:name w:val="Title"/>
    <w:basedOn w:val="Normal"/>
    <w:uiPriority w:val="10"/>
    <w:qFormat/>
    <w:pPr>
      <w:spacing w:line="1578" w:lineRule="exact"/>
      <w:ind w:left="116"/>
    </w:pPr>
    <w:rPr>
      <w:b/>
      <w:bCs/>
      <w:sz w:val="144"/>
      <w:szCs w:val="144"/>
    </w:rPr>
  </w:style>
  <w:style w:type="paragraph" w:styleId="Liststycke">
    <w:name w:val="List Paragraph"/>
    <w:basedOn w:val="Normal"/>
    <w:uiPriority w:val="34"/>
    <w:qFormat/>
    <w:pPr>
      <w:spacing w:before="58"/>
      <w:ind w:left="476" w:hanging="358"/>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125D13"/>
    <w:pPr>
      <w:tabs>
        <w:tab w:val="center" w:pos="4536"/>
        <w:tab w:val="right" w:pos="9072"/>
      </w:tabs>
    </w:pPr>
  </w:style>
  <w:style w:type="character" w:customStyle="1" w:styleId="SidhuvudChar">
    <w:name w:val="Sidhuvud Char"/>
    <w:basedOn w:val="Standardstycketeckensnitt"/>
    <w:link w:val="Sidhuvud"/>
    <w:uiPriority w:val="99"/>
    <w:rsid w:val="00125D13"/>
    <w:rPr>
      <w:rFonts w:ascii="Arial" w:eastAsia="Arial" w:hAnsi="Arial" w:cs="Arial"/>
    </w:rPr>
  </w:style>
  <w:style w:type="paragraph" w:styleId="Sidfot">
    <w:name w:val="footer"/>
    <w:basedOn w:val="Normal"/>
    <w:link w:val="SidfotChar"/>
    <w:uiPriority w:val="99"/>
    <w:unhideWhenUsed/>
    <w:rsid w:val="00125D13"/>
    <w:pPr>
      <w:tabs>
        <w:tab w:val="center" w:pos="4536"/>
        <w:tab w:val="right" w:pos="9072"/>
      </w:tabs>
    </w:pPr>
  </w:style>
  <w:style w:type="character" w:customStyle="1" w:styleId="SidfotChar">
    <w:name w:val="Sidfot Char"/>
    <w:basedOn w:val="Standardstycketeckensnitt"/>
    <w:link w:val="Sidfot"/>
    <w:uiPriority w:val="99"/>
    <w:rsid w:val="00125D13"/>
    <w:rPr>
      <w:rFonts w:ascii="Arial" w:eastAsia="Arial" w:hAnsi="Arial" w:cs="Arial"/>
    </w:rPr>
  </w:style>
  <w:style w:type="character" w:styleId="Kommentarsreferens">
    <w:name w:val="annotation reference"/>
    <w:basedOn w:val="Standardstycketeckensnitt"/>
    <w:uiPriority w:val="99"/>
    <w:semiHidden/>
    <w:unhideWhenUsed/>
    <w:rsid w:val="00214622"/>
    <w:rPr>
      <w:sz w:val="16"/>
      <w:szCs w:val="16"/>
    </w:rPr>
  </w:style>
  <w:style w:type="paragraph" w:styleId="Kommentarer">
    <w:name w:val="annotation text"/>
    <w:basedOn w:val="Normal"/>
    <w:link w:val="KommentarerChar"/>
    <w:uiPriority w:val="99"/>
    <w:unhideWhenUsed/>
    <w:rsid w:val="00214622"/>
    <w:rPr>
      <w:sz w:val="20"/>
      <w:szCs w:val="20"/>
    </w:rPr>
  </w:style>
  <w:style w:type="character" w:customStyle="1" w:styleId="KommentarerChar">
    <w:name w:val="Kommentarer Char"/>
    <w:basedOn w:val="Standardstycketeckensnitt"/>
    <w:link w:val="Kommentarer"/>
    <w:uiPriority w:val="99"/>
    <w:rsid w:val="00214622"/>
    <w:rPr>
      <w:rFonts w:ascii="Arial" w:eastAsia="Arial" w:hAnsi="Arial" w:cs="Arial"/>
      <w:sz w:val="20"/>
      <w:szCs w:val="20"/>
    </w:rPr>
  </w:style>
  <w:style w:type="paragraph" w:styleId="Kommentarsmne">
    <w:name w:val="annotation subject"/>
    <w:basedOn w:val="Kommentarer"/>
    <w:next w:val="Kommentarer"/>
    <w:link w:val="KommentarsmneChar"/>
    <w:uiPriority w:val="99"/>
    <w:semiHidden/>
    <w:unhideWhenUsed/>
    <w:rsid w:val="00214622"/>
    <w:rPr>
      <w:b/>
      <w:bCs/>
    </w:rPr>
  </w:style>
  <w:style w:type="character" w:customStyle="1" w:styleId="KommentarsmneChar">
    <w:name w:val="Kommentarsämne Char"/>
    <w:basedOn w:val="KommentarerChar"/>
    <w:link w:val="Kommentarsmne"/>
    <w:uiPriority w:val="99"/>
    <w:semiHidden/>
    <w:rsid w:val="0021462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69007">
      <w:bodyDiv w:val="1"/>
      <w:marLeft w:val="0"/>
      <w:marRight w:val="0"/>
      <w:marTop w:val="0"/>
      <w:marBottom w:val="0"/>
      <w:divBdr>
        <w:top w:val="none" w:sz="0" w:space="0" w:color="auto"/>
        <w:left w:val="none" w:sz="0" w:space="0" w:color="auto"/>
        <w:bottom w:val="none" w:sz="0" w:space="0" w:color="auto"/>
        <w:right w:val="none" w:sz="0" w:space="0" w:color="auto"/>
      </w:divBdr>
    </w:div>
    <w:div w:id="1673408084">
      <w:bodyDiv w:val="1"/>
      <w:marLeft w:val="0"/>
      <w:marRight w:val="0"/>
      <w:marTop w:val="0"/>
      <w:marBottom w:val="0"/>
      <w:divBdr>
        <w:top w:val="none" w:sz="0" w:space="0" w:color="auto"/>
        <w:left w:val="none" w:sz="0" w:space="0" w:color="auto"/>
        <w:bottom w:val="none" w:sz="0" w:space="0" w:color="auto"/>
        <w:right w:val="none" w:sz="0" w:space="0" w:color="auto"/>
      </w:divBdr>
    </w:div>
    <w:div w:id="1910995699">
      <w:bodyDiv w:val="1"/>
      <w:marLeft w:val="0"/>
      <w:marRight w:val="0"/>
      <w:marTop w:val="0"/>
      <w:marBottom w:val="0"/>
      <w:divBdr>
        <w:top w:val="none" w:sz="0" w:space="0" w:color="auto"/>
        <w:left w:val="none" w:sz="0" w:space="0" w:color="auto"/>
        <w:bottom w:val="none" w:sz="0" w:space="0" w:color="auto"/>
        <w:right w:val="none" w:sz="0" w:space="0" w:color="auto"/>
      </w:divBdr>
      <w:divsChild>
        <w:div w:id="206533039">
          <w:marLeft w:val="0"/>
          <w:marRight w:val="0"/>
          <w:marTop w:val="0"/>
          <w:marBottom w:val="0"/>
          <w:divBdr>
            <w:top w:val="none" w:sz="0" w:space="0" w:color="auto"/>
            <w:left w:val="none" w:sz="0" w:space="0" w:color="auto"/>
            <w:bottom w:val="none" w:sz="0" w:space="0" w:color="auto"/>
            <w:right w:val="none" w:sz="0" w:space="0" w:color="auto"/>
          </w:divBdr>
          <w:divsChild>
            <w:div w:id="1705904730">
              <w:marLeft w:val="0"/>
              <w:marRight w:val="0"/>
              <w:marTop w:val="0"/>
              <w:marBottom w:val="0"/>
              <w:divBdr>
                <w:top w:val="none" w:sz="0" w:space="0" w:color="auto"/>
                <w:left w:val="none" w:sz="0" w:space="0" w:color="auto"/>
                <w:bottom w:val="none" w:sz="0" w:space="0" w:color="auto"/>
                <w:right w:val="none" w:sz="0" w:space="0" w:color="auto"/>
              </w:divBdr>
              <w:divsChild>
                <w:div w:id="35593124">
                  <w:marLeft w:val="0"/>
                  <w:marRight w:val="0"/>
                  <w:marTop w:val="0"/>
                  <w:marBottom w:val="0"/>
                  <w:divBdr>
                    <w:top w:val="none" w:sz="0" w:space="0" w:color="auto"/>
                    <w:left w:val="none" w:sz="0" w:space="0" w:color="auto"/>
                    <w:bottom w:val="none" w:sz="0" w:space="0" w:color="auto"/>
                    <w:right w:val="none" w:sz="0" w:space="0" w:color="auto"/>
                  </w:divBdr>
                </w:div>
              </w:divsChild>
            </w:div>
            <w:div w:id="705835193">
              <w:marLeft w:val="0"/>
              <w:marRight w:val="0"/>
              <w:marTop w:val="0"/>
              <w:marBottom w:val="0"/>
              <w:divBdr>
                <w:top w:val="none" w:sz="0" w:space="0" w:color="auto"/>
                <w:left w:val="none" w:sz="0" w:space="0" w:color="auto"/>
                <w:bottom w:val="none" w:sz="0" w:space="0" w:color="auto"/>
                <w:right w:val="none" w:sz="0" w:space="0" w:color="auto"/>
              </w:divBdr>
            </w:div>
            <w:div w:id="2129935131">
              <w:marLeft w:val="0"/>
              <w:marRight w:val="0"/>
              <w:marTop w:val="0"/>
              <w:marBottom w:val="0"/>
              <w:divBdr>
                <w:top w:val="none" w:sz="0" w:space="0" w:color="auto"/>
                <w:left w:val="none" w:sz="0" w:space="0" w:color="auto"/>
                <w:bottom w:val="none" w:sz="0" w:space="0" w:color="auto"/>
                <w:right w:val="none" w:sz="0" w:space="0" w:color="auto"/>
              </w:divBdr>
              <w:divsChild>
                <w:div w:id="12522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965">
          <w:marLeft w:val="0"/>
          <w:marRight w:val="0"/>
          <w:marTop w:val="0"/>
          <w:marBottom w:val="0"/>
          <w:divBdr>
            <w:top w:val="none" w:sz="0" w:space="0" w:color="auto"/>
            <w:left w:val="none" w:sz="0" w:space="0" w:color="auto"/>
            <w:bottom w:val="none" w:sz="0" w:space="0" w:color="auto"/>
            <w:right w:val="none" w:sz="0" w:space="0" w:color="auto"/>
          </w:divBdr>
          <w:divsChild>
            <w:div w:id="848524665">
              <w:marLeft w:val="0"/>
              <w:marRight w:val="0"/>
              <w:marTop w:val="0"/>
              <w:marBottom w:val="0"/>
              <w:divBdr>
                <w:top w:val="none" w:sz="0" w:space="0" w:color="auto"/>
                <w:left w:val="none" w:sz="0" w:space="0" w:color="auto"/>
                <w:bottom w:val="none" w:sz="0" w:space="0" w:color="auto"/>
                <w:right w:val="none" w:sz="0" w:space="0" w:color="auto"/>
              </w:divBdr>
              <w:divsChild>
                <w:div w:id="1445228103">
                  <w:marLeft w:val="0"/>
                  <w:marRight w:val="0"/>
                  <w:marTop w:val="0"/>
                  <w:marBottom w:val="0"/>
                  <w:divBdr>
                    <w:top w:val="none" w:sz="0" w:space="0" w:color="auto"/>
                    <w:left w:val="none" w:sz="0" w:space="0" w:color="auto"/>
                    <w:bottom w:val="none" w:sz="0" w:space="0" w:color="auto"/>
                    <w:right w:val="none" w:sz="0" w:space="0" w:color="auto"/>
                  </w:divBdr>
                  <w:divsChild>
                    <w:div w:id="82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26328">
      <w:bodyDiv w:val="1"/>
      <w:marLeft w:val="0"/>
      <w:marRight w:val="0"/>
      <w:marTop w:val="0"/>
      <w:marBottom w:val="0"/>
      <w:divBdr>
        <w:top w:val="none" w:sz="0" w:space="0" w:color="auto"/>
        <w:left w:val="none" w:sz="0" w:space="0" w:color="auto"/>
        <w:bottom w:val="none" w:sz="0" w:space="0" w:color="auto"/>
        <w:right w:val="none" w:sz="0" w:space="0" w:color="auto"/>
      </w:divBdr>
      <w:divsChild>
        <w:div w:id="573441334">
          <w:marLeft w:val="0"/>
          <w:marRight w:val="0"/>
          <w:marTop w:val="0"/>
          <w:marBottom w:val="0"/>
          <w:divBdr>
            <w:top w:val="none" w:sz="0" w:space="0" w:color="auto"/>
            <w:left w:val="none" w:sz="0" w:space="0" w:color="auto"/>
            <w:bottom w:val="none" w:sz="0" w:space="0" w:color="auto"/>
            <w:right w:val="none" w:sz="0" w:space="0" w:color="auto"/>
          </w:divBdr>
          <w:divsChild>
            <w:div w:id="1936206415">
              <w:marLeft w:val="0"/>
              <w:marRight w:val="0"/>
              <w:marTop w:val="0"/>
              <w:marBottom w:val="0"/>
              <w:divBdr>
                <w:top w:val="none" w:sz="0" w:space="0" w:color="auto"/>
                <w:left w:val="none" w:sz="0" w:space="0" w:color="auto"/>
                <w:bottom w:val="none" w:sz="0" w:space="0" w:color="auto"/>
                <w:right w:val="none" w:sz="0" w:space="0" w:color="auto"/>
              </w:divBdr>
              <w:divsChild>
                <w:div w:id="158545033">
                  <w:marLeft w:val="0"/>
                  <w:marRight w:val="0"/>
                  <w:marTop w:val="0"/>
                  <w:marBottom w:val="0"/>
                  <w:divBdr>
                    <w:top w:val="none" w:sz="0" w:space="0" w:color="auto"/>
                    <w:left w:val="none" w:sz="0" w:space="0" w:color="auto"/>
                    <w:bottom w:val="none" w:sz="0" w:space="0" w:color="auto"/>
                    <w:right w:val="none" w:sz="0" w:space="0" w:color="auto"/>
                  </w:divBdr>
                </w:div>
              </w:divsChild>
            </w:div>
            <w:div w:id="812601817">
              <w:marLeft w:val="0"/>
              <w:marRight w:val="0"/>
              <w:marTop w:val="0"/>
              <w:marBottom w:val="0"/>
              <w:divBdr>
                <w:top w:val="none" w:sz="0" w:space="0" w:color="auto"/>
                <w:left w:val="none" w:sz="0" w:space="0" w:color="auto"/>
                <w:bottom w:val="none" w:sz="0" w:space="0" w:color="auto"/>
                <w:right w:val="none" w:sz="0" w:space="0" w:color="auto"/>
              </w:divBdr>
            </w:div>
            <w:div w:id="635255713">
              <w:marLeft w:val="0"/>
              <w:marRight w:val="0"/>
              <w:marTop w:val="0"/>
              <w:marBottom w:val="0"/>
              <w:divBdr>
                <w:top w:val="none" w:sz="0" w:space="0" w:color="auto"/>
                <w:left w:val="none" w:sz="0" w:space="0" w:color="auto"/>
                <w:bottom w:val="none" w:sz="0" w:space="0" w:color="auto"/>
                <w:right w:val="none" w:sz="0" w:space="0" w:color="auto"/>
              </w:divBdr>
              <w:divsChild>
                <w:div w:id="4361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9613">
          <w:marLeft w:val="0"/>
          <w:marRight w:val="0"/>
          <w:marTop w:val="0"/>
          <w:marBottom w:val="0"/>
          <w:divBdr>
            <w:top w:val="none" w:sz="0" w:space="0" w:color="auto"/>
            <w:left w:val="none" w:sz="0" w:space="0" w:color="auto"/>
            <w:bottom w:val="none" w:sz="0" w:space="0" w:color="auto"/>
            <w:right w:val="none" w:sz="0" w:space="0" w:color="auto"/>
          </w:divBdr>
          <w:divsChild>
            <w:div w:id="1004473054">
              <w:marLeft w:val="0"/>
              <w:marRight w:val="0"/>
              <w:marTop w:val="0"/>
              <w:marBottom w:val="0"/>
              <w:divBdr>
                <w:top w:val="none" w:sz="0" w:space="0" w:color="auto"/>
                <w:left w:val="none" w:sz="0" w:space="0" w:color="auto"/>
                <w:bottom w:val="none" w:sz="0" w:space="0" w:color="auto"/>
                <w:right w:val="none" w:sz="0" w:space="0" w:color="auto"/>
              </w:divBdr>
              <w:divsChild>
                <w:div w:id="1617059117">
                  <w:marLeft w:val="0"/>
                  <w:marRight w:val="0"/>
                  <w:marTop w:val="0"/>
                  <w:marBottom w:val="0"/>
                  <w:divBdr>
                    <w:top w:val="none" w:sz="0" w:space="0" w:color="auto"/>
                    <w:left w:val="none" w:sz="0" w:space="0" w:color="auto"/>
                    <w:bottom w:val="none" w:sz="0" w:space="0" w:color="auto"/>
                    <w:right w:val="none" w:sz="0" w:space="0" w:color="auto"/>
                  </w:divBdr>
                  <w:divsChild>
                    <w:div w:id="1911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footer" Target="footer3.xml"/><Relationship Id="rId68" Type="http://schemas.openxmlformats.org/officeDocument/2006/relationships/image" Target="media/image52.emf"/><Relationship Id="rId84" Type="http://schemas.openxmlformats.org/officeDocument/2006/relationships/image" Target="media/image68.emf"/><Relationship Id="rId89" Type="http://schemas.openxmlformats.org/officeDocument/2006/relationships/image" Target="media/image72.png"/><Relationship Id="rId16" Type="http://schemas.openxmlformats.org/officeDocument/2006/relationships/image" Target="media/image3.emf"/><Relationship Id="rId11" Type="http://schemas.openxmlformats.org/officeDocument/2006/relationships/footer" Target="footer1.xml"/><Relationship Id="rId32" Type="http://schemas.openxmlformats.org/officeDocument/2006/relationships/image" Target="media/image18.emf"/><Relationship Id="rId37" Type="http://schemas.openxmlformats.org/officeDocument/2006/relationships/image" Target="media/image23.emf"/><Relationship Id="rId53" Type="http://schemas.openxmlformats.org/officeDocument/2006/relationships/image" Target="media/image39.emf"/><Relationship Id="rId58" Type="http://schemas.openxmlformats.org/officeDocument/2006/relationships/image" Target="media/image44.emf"/><Relationship Id="rId74" Type="http://schemas.openxmlformats.org/officeDocument/2006/relationships/image" Target="media/image58.emf"/><Relationship Id="rId79" Type="http://schemas.openxmlformats.org/officeDocument/2006/relationships/image" Target="media/image63.emf"/><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49.emf"/><Relationship Id="rId69" Type="http://schemas.openxmlformats.org/officeDocument/2006/relationships/image" Target="media/image53.emf"/><Relationship Id="rId77" Type="http://schemas.openxmlformats.org/officeDocument/2006/relationships/image" Target="media/image61.emf"/><Relationship Id="rId8" Type="http://schemas.openxmlformats.org/officeDocument/2006/relationships/footnotes" Target="footnotes.xml"/><Relationship Id="rId51" Type="http://schemas.openxmlformats.org/officeDocument/2006/relationships/image" Target="media/image37.emf"/><Relationship Id="rId72" Type="http://schemas.openxmlformats.org/officeDocument/2006/relationships/image" Target="media/image56.emf"/><Relationship Id="rId80" Type="http://schemas.openxmlformats.org/officeDocument/2006/relationships/image" Target="media/image64.emf"/><Relationship Id="rId85" Type="http://schemas.openxmlformats.org/officeDocument/2006/relationships/image" Target="media/image69.emf"/><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footer" Target="footer4.xml"/><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4.emf"/><Relationship Id="rId75" Type="http://schemas.openxmlformats.org/officeDocument/2006/relationships/image" Target="media/image59.emf"/><Relationship Id="rId83" Type="http://schemas.openxmlformats.org/officeDocument/2006/relationships/image" Target="media/image67.emf"/><Relationship Id="rId88" Type="http://schemas.openxmlformats.org/officeDocument/2006/relationships/footer" Target="foot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header" Target="head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0.emf"/><Relationship Id="rId73" Type="http://schemas.openxmlformats.org/officeDocument/2006/relationships/image" Target="media/image57.emf"/><Relationship Id="rId78" Type="http://schemas.openxmlformats.org/officeDocument/2006/relationships/image" Target="media/image62.emf"/><Relationship Id="rId81" Type="http://schemas.openxmlformats.org/officeDocument/2006/relationships/image" Target="media/image65.emf"/><Relationship Id="rId86" Type="http://schemas.openxmlformats.org/officeDocument/2006/relationships/image" Target="media/image70.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emf"/><Relationship Id="rId39" Type="http://schemas.openxmlformats.org/officeDocument/2006/relationships/image" Target="media/image25.emf"/><Relationship Id="rId34" Type="http://schemas.openxmlformats.org/officeDocument/2006/relationships/image" Target="media/image20.e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image" Target="media/image60.emf"/><Relationship Id="rId7" Type="http://schemas.openxmlformats.org/officeDocument/2006/relationships/webSettings" Target="webSettings.xml"/><Relationship Id="rId71" Type="http://schemas.openxmlformats.org/officeDocument/2006/relationships/image" Target="media/image55.emf"/><Relationship Id="rId2" Type="http://schemas.openxmlformats.org/officeDocument/2006/relationships/customXml" Target="../customXml/item2.xml"/><Relationship Id="rId29" Type="http://schemas.openxmlformats.org/officeDocument/2006/relationships/image" Target="media/image15.emf"/><Relationship Id="rId24" Type="http://schemas.openxmlformats.org/officeDocument/2006/relationships/image" Target="media/image10.emf"/><Relationship Id="rId40" Type="http://schemas.openxmlformats.org/officeDocument/2006/relationships/image" Target="media/image26.emf"/><Relationship Id="rId45" Type="http://schemas.openxmlformats.org/officeDocument/2006/relationships/image" Target="media/image31.emf"/><Relationship Id="rId66" Type="http://schemas.openxmlformats.org/officeDocument/2006/relationships/image" Target="media/image51.emf"/><Relationship Id="rId87" Type="http://schemas.openxmlformats.org/officeDocument/2006/relationships/image" Target="media/image71.emf"/><Relationship Id="rId61" Type="http://schemas.openxmlformats.org/officeDocument/2006/relationships/image" Target="media/image47.emf"/><Relationship Id="rId82" Type="http://schemas.openxmlformats.org/officeDocument/2006/relationships/image" Target="media/image66.emf"/><Relationship Id="rId1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6DB2B5169E3F4BA6580A396D21A8EE" ma:contentTypeVersion="15" ma:contentTypeDescription="Skapa ett nytt dokument." ma:contentTypeScope="" ma:versionID="19e82925bd64dec32e9e16c800e4a2e0">
  <xsd:schema xmlns:xsd="http://www.w3.org/2001/XMLSchema" xmlns:xs="http://www.w3.org/2001/XMLSchema" xmlns:p="http://schemas.microsoft.com/office/2006/metadata/properties" xmlns:ns2="c25103e4-eb4e-4553-8c3f-fa349e56c913" xmlns:ns3="43599824-96c6-4108-bd4b-8129a56d9a22" targetNamespace="http://schemas.microsoft.com/office/2006/metadata/properties" ma:root="true" ma:fieldsID="cfd000e7d53add051b2ec9f3d01045ee" ns2:_="" ns3:_="">
    <xsd:import namespace="c25103e4-eb4e-4553-8c3f-fa349e56c913"/>
    <xsd:import namespace="43599824-96c6-4108-bd4b-8129a56d9a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103e4-eb4e-4553-8c3f-fa349e56c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9870534-b6d4-497c-9a2e-76148c750a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99824-96c6-4108-bd4b-8129a56d9a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fea778-3a48-44ae-84c4-264314ba4b34}" ma:internalName="TaxCatchAll" ma:showField="CatchAllData" ma:web="43599824-96c6-4108-bd4b-8129a56d9a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5103e4-eb4e-4553-8c3f-fa349e56c913">
      <Terms xmlns="http://schemas.microsoft.com/office/infopath/2007/PartnerControls"/>
    </lcf76f155ced4ddcb4097134ff3c332f>
    <TaxCatchAll xmlns="43599824-96c6-4108-bd4b-8129a56d9a22" xsi:nil="true"/>
  </documentManagement>
</p:properties>
</file>

<file path=customXml/itemProps1.xml><?xml version="1.0" encoding="utf-8"?>
<ds:datastoreItem xmlns:ds="http://schemas.openxmlformats.org/officeDocument/2006/customXml" ds:itemID="{18F742A8-143A-410E-AB36-DD6F8A50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103e4-eb4e-4553-8c3f-fa349e56c913"/>
    <ds:schemaRef ds:uri="43599824-96c6-4108-bd4b-8129a56d9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A0F65-5A19-43B1-AC96-4AF18537A7F7}">
  <ds:schemaRefs>
    <ds:schemaRef ds:uri="http://schemas.microsoft.com/sharepoint/v3/contenttype/forms"/>
  </ds:schemaRefs>
</ds:datastoreItem>
</file>

<file path=customXml/itemProps3.xml><?xml version="1.0" encoding="utf-8"?>
<ds:datastoreItem xmlns:ds="http://schemas.openxmlformats.org/officeDocument/2006/customXml" ds:itemID="{BF1EE29C-5FC1-4151-917A-A8E5998D4E87}">
  <ds:schemaRefs>
    <ds:schemaRef ds:uri="http://schemas.microsoft.com/office/2006/metadata/properties"/>
    <ds:schemaRef ds:uri="http://schemas.microsoft.com/office/infopath/2007/PartnerControls"/>
    <ds:schemaRef ds:uri="c25103e4-eb4e-4553-8c3f-fa349e56c913"/>
    <ds:schemaRef ds:uri="43599824-96c6-4108-bd4b-8129a56d9a22"/>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57</Pages>
  <Words>14241</Words>
  <Characters>75479</Characters>
  <Application>Microsoft Office Word</Application>
  <DocSecurity>0</DocSecurity>
  <Lines>628</Lines>
  <Paragraphs>179</Paragraphs>
  <ScaleCrop>false</ScaleCrop>
  <Company/>
  <LinksUpToDate>false</LinksUpToDate>
  <CharactersWithSpaces>89541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Utkast RB ENG FC Group 2022.docx</dc:title>
  <dc:subject>2019</dc:subject>
  <dc:creator>4508</dc:creator>
  <cp:lastModifiedBy>Renée Nordén</cp:lastModifiedBy>
  <cp:revision>1004</cp:revision>
  <dcterms:created xsi:type="dcterms:W3CDTF">2024-10-23T08:50:00Z</dcterms:created>
  <dcterms:modified xsi:type="dcterms:W3CDTF">2025-04-17T11:32:00Z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PScript5.dll Version 5.2.2</vt:lpwstr>
  </property>
  <property fmtid="{D5CDD505-2E9C-101B-9397-08002B2CF9AE}" pid="4" name="LastSaved">
    <vt:filetime>2024-10-23T00:00:00Z</vt:filetime>
  </property>
  <property fmtid="{D5CDD505-2E9C-101B-9397-08002B2CF9AE}" pid="5" name="Producer">
    <vt:lpwstr>GPL Ghostscript 8.15</vt:lpwstr>
  </property>
  <property fmtid="{D5CDD505-2E9C-101B-9397-08002B2CF9AE}" pid="6" name="ContentTypeId">
    <vt:lpwstr>0x010100906DB2B5169E3F4BA6580A396D21A8EE</vt:lpwstr>
  </property>
  <property fmtid="{D5CDD505-2E9C-101B-9397-08002B2CF9AE}" pid="7" name="MediaServiceImageTags">
    <vt:lpwstr/>
  </property>
</Properties>
</file>